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61D" w:rsidRPr="00CD207C" w:rsidRDefault="00A5561D" w:rsidP="00CD207C">
      <w:pPr>
        <w:rPr>
          <w:rFonts w:asciiTheme="minorHAnsi" w:hAnsiTheme="minorHAnsi"/>
        </w:rPr>
      </w:pPr>
    </w:p>
    <w:p w:rsidR="00077265" w:rsidRPr="00CD207C" w:rsidRDefault="00077265" w:rsidP="00CD207C">
      <w:pPr>
        <w:jc w:val="center"/>
        <w:rPr>
          <w:rFonts w:asciiTheme="minorHAnsi" w:hAnsiTheme="minorHAnsi"/>
          <w:b/>
          <w:bCs/>
          <w:smallCaps/>
          <w:lang w:eastAsia="en-US"/>
        </w:rPr>
      </w:pPr>
    </w:p>
    <w:p w:rsidR="00077265" w:rsidRPr="00CD207C" w:rsidRDefault="00077265" w:rsidP="00CD207C">
      <w:pPr>
        <w:rPr>
          <w:rFonts w:asciiTheme="minorHAnsi" w:hAnsiTheme="minorHAnsi"/>
          <w:b/>
          <w:bCs/>
          <w:smallCaps/>
          <w:lang w:eastAsia="en-US"/>
        </w:rPr>
      </w:pPr>
    </w:p>
    <w:p w:rsidR="006F72A4" w:rsidRPr="007F3363" w:rsidRDefault="001E3220" w:rsidP="00CD207C">
      <w:pPr>
        <w:jc w:val="center"/>
        <w:rPr>
          <w:rFonts w:asciiTheme="minorHAnsi" w:hAnsiTheme="minorHAnsi"/>
          <w:b/>
          <w:bCs/>
          <w:smallCaps/>
          <w:lang w:eastAsia="en-US"/>
        </w:rPr>
      </w:pPr>
      <w:r w:rsidRPr="007F3363">
        <w:rPr>
          <w:rFonts w:asciiTheme="minorHAnsi" w:hAnsiTheme="minorHAnsi"/>
          <w:b/>
          <w:bCs/>
          <w:smallCaps/>
          <w:lang w:eastAsia="en-US"/>
        </w:rPr>
        <w:t>Regime Próprio de Previdência Social</w:t>
      </w:r>
    </w:p>
    <w:p w:rsidR="0000318F" w:rsidRPr="007F3363" w:rsidRDefault="0073786F" w:rsidP="00CD207C">
      <w:pPr>
        <w:jc w:val="center"/>
        <w:rPr>
          <w:rFonts w:asciiTheme="minorHAnsi" w:hAnsiTheme="minorHAnsi"/>
          <w:b/>
          <w:bCs/>
          <w:smallCaps/>
          <w:lang w:eastAsia="en-US"/>
        </w:rPr>
      </w:pPr>
      <w:r w:rsidRPr="007F3363">
        <w:rPr>
          <w:rFonts w:asciiTheme="minorHAnsi" w:hAnsiTheme="minorHAnsi"/>
          <w:b/>
          <w:bCs/>
          <w:smallCaps/>
          <w:lang w:eastAsia="en-US"/>
        </w:rPr>
        <w:t>São Nicolau</w:t>
      </w:r>
    </w:p>
    <w:p w:rsidR="00797554" w:rsidRPr="007F3363" w:rsidRDefault="009D3824" w:rsidP="00CD207C">
      <w:pPr>
        <w:widowControl w:val="0"/>
        <w:autoSpaceDE w:val="0"/>
        <w:autoSpaceDN w:val="0"/>
        <w:adjustRightInd w:val="0"/>
        <w:spacing w:after="240"/>
        <w:jc w:val="center"/>
        <w:rPr>
          <w:rFonts w:asciiTheme="minorHAnsi" w:hAnsiTheme="minorHAnsi" w:cs="Times"/>
          <w:b/>
          <w:lang w:eastAsia="en-US"/>
        </w:rPr>
      </w:pPr>
      <w:r w:rsidRPr="007F3363">
        <w:rPr>
          <w:rFonts w:asciiTheme="minorHAnsi" w:hAnsiTheme="minorHAnsi" w:cs="Helvetica"/>
          <w:b/>
          <w:lang w:eastAsia="en-US"/>
        </w:rPr>
        <w:t xml:space="preserve">CNPJ: </w:t>
      </w:r>
      <w:r w:rsidR="0073786F" w:rsidRPr="007F3363">
        <w:rPr>
          <w:rFonts w:asciiTheme="minorHAnsi" w:hAnsiTheme="minorHAnsi" w:cs="Helvetica"/>
          <w:b/>
          <w:lang w:eastAsia="en-US"/>
        </w:rPr>
        <w:t>10</w:t>
      </w:r>
      <w:r w:rsidR="006E65CC" w:rsidRPr="007F3363">
        <w:rPr>
          <w:rFonts w:asciiTheme="minorHAnsi" w:hAnsiTheme="minorHAnsi" w:cs="Helvetica"/>
          <w:b/>
          <w:lang w:eastAsia="en-US"/>
        </w:rPr>
        <w:t>.</w:t>
      </w:r>
      <w:r w:rsidR="0073786F" w:rsidRPr="007F3363">
        <w:rPr>
          <w:rFonts w:asciiTheme="minorHAnsi" w:hAnsiTheme="minorHAnsi" w:cs="Helvetica"/>
          <w:b/>
          <w:lang w:eastAsia="en-US"/>
        </w:rPr>
        <w:t>844</w:t>
      </w:r>
      <w:r w:rsidR="006E65CC" w:rsidRPr="007F3363">
        <w:rPr>
          <w:rFonts w:asciiTheme="minorHAnsi" w:hAnsiTheme="minorHAnsi" w:cs="Helvetica"/>
          <w:b/>
          <w:lang w:eastAsia="en-US"/>
        </w:rPr>
        <w:t>.</w:t>
      </w:r>
      <w:r w:rsidR="0073786F" w:rsidRPr="007F3363">
        <w:rPr>
          <w:rFonts w:asciiTheme="minorHAnsi" w:hAnsiTheme="minorHAnsi" w:cs="Helvetica"/>
          <w:b/>
          <w:lang w:eastAsia="en-US"/>
        </w:rPr>
        <w:t>958/0001-12</w:t>
      </w:r>
    </w:p>
    <w:p w:rsidR="006F72A4" w:rsidRPr="007F3363" w:rsidRDefault="006F72A4" w:rsidP="00CD207C">
      <w:pPr>
        <w:widowControl w:val="0"/>
        <w:autoSpaceDE w:val="0"/>
        <w:autoSpaceDN w:val="0"/>
        <w:adjustRightInd w:val="0"/>
        <w:spacing w:after="240"/>
        <w:jc w:val="center"/>
        <w:rPr>
          <w:rFonts w:asciiTheme="minorHAnsi" w:hAnsiTheme="minorHAnsi" w:cs="Times"/>
          <w:b/>
          <w:lang w:eastAsia="en-US"/>
        </w:rPr>
      </w:pPr>
    </w:p>
    <w:p w:rsidR="00077265" w:rsidRPr="007F3363" w:rsidRDefault="00745F1F" w:rsidP="00FC41D8">
      <w:pPr>
        <w:widowControl w:val="0"/>
        <w:autoSpaceDE w:val="0"/>
        <w:autoSpaceDN w:val="0"/>
        <w:adjustRightInd w:val="0"/>
        <w:spacing w:after="240"/>
        <w:jc w:val="center"/>
        <w:rPr>
          <w:rFonts w:asciiTheme="minorHAnsi" w:hAnsiTheme="minorHAnsi" w:cs="Calibri"/>
          <w:b/>
          <w:bCs/>
          <w:smallCaps/>
          <w:lang w:eastAsia="en-US"/>
        </w:rPr>
      </w:pPr>
      <w:r w:rsidRPr="007F3363">
        <w:rPr>
          <w:rFonts w:asciiTheme="minorHAnsi" w:hAnsiTheme="minorHAnsi" w:cs="Calibri"/>
          <w:b/>
          <w:bCs/>
          <w:smallCaps/>
          <w:lang w:eastAsia="en-US"/>
        </w:rPr>
        <w:t xml:space="preserve">Política de Investimentos </w:t>
      </w:r>
      <w:r w:rsidR="005516DB" w:rsidRPr="007F3363">
        <w:rPr>
          <w:rFonts w:asciiTheme="minorHAnsi" w:hAnsiTheme="minorHAnsi" w:cs="Calibri"/>
          <w:b/>
          <w:bCs/>
          <w:smallCaps/>
          <w:lang w:eastAsia="en-US"/>
        </w:rPr>
        <w:t>201</w:t>
      </w:r>
      <w:r w:rsidR="00615B7C" w:rsidRPr="007F3363">
        <w:rPr>
          <w:rFonts w:asciiTheme="minorHAnsi" w:hAnsiTheme="minorHAnsi" w:cs="Calibri"/>
          <w:b/>
          <w:bCs/>
          <w:smallCaps/>
          <w:lang w:eastAsia="en-US"/>
        </w:rPr>
        <w:t>9</w:t>
      </w:r>
    </w:p>
    <w:p w:rsidR="00077265" w:rsidRPr="007F3363" w:rsidRDefault="00077265" w:rsidP="00CD207C">
      <w:pPr>
        <w:widowControl w:val="0"/>
        <w:autoSpaceDE w:val="0"/>
        <w:autoSpaceDN w:val="0"/>
        <w:adjustRightInd w:val="0"/>
        <w:spacing w:after="240"/>
        <w:jc w:val="center"/>
        <w:rPr>
          <w:rFonts w:asciiTheme="minorHAnsi" w:hAnsiTheme="minorHAnsi" w:cs="Calibri"/>
          <w:lang w:eastAsia="en-US"/>
        </w:rPr>
      </w:pPr>
      <w:r w:rsidRPr="007F3363">
        <w:rPr>
          <w:rFonts w:asciiTheme="minorHAnsi" w:hAnsiTheme="minorHAnsi" w:cs="Calibri"/>
          <w:lang w:eastAsia="en-US"/>
        </w:rPr>
        <w:t>Elaborado por Premier Análises e Consultoria Ltda.</w:t>
      </w:r>
    </w:p>
    <w:p w:rsidR="00074F0B" w:rsidRPr="00B028CE" w:rsidRDefault="00A66AFA" w:rsidP="00CD207C">
      <w:pPr>
        <w:widowControl w:val="0"/>
        <w:autoSpaceDE w:val="0"/>
        <w:autoSpaceDN w:val="0"/>
        <w:adjustRightInd w:val="0"/>
        <w:spacing w:after="240"/>
        <w:jc w:val="center"/>
        <w:rPr>
          <w:rFonts w:asciiTheme="minorHAnsi" w:hAnsiTheme="minorHAnsi" w:cs="Calibri"/>
          <w:lang w:eastAsia="en-US"/>
        </w:rPr>
      </w:pPr>
      <w:r w:rsidRPr="00B028CE">
        <w:rPr>
          <w:rFonts w:asciiTheme="minorHAnsi" w:hAnsiTheme="minorHAnsi" w:cs="Calibri"/>
          <w:lang w:eastAsia="en-US"/>
        </w:rPr>
        <w:t xml:space="preserve">Data de Elaboração: </w:t>
      </w:r>
      <w:r w:rsidR="00615B7C" w:rsidRPr="00B028CE">
        <w:rPr>
          <w:rFonts w:asciiTheme="minorHAnsi" w:hAnsiTheme="minorHAnsi" w:cs="Calibri"/>
          <w:lang w:eastAsia="en-US"/>
        </w:rPr>
        <w:t>16</w:t>
      </w:r>
      <w:r w:rsidR="00074F0B" w:rsidRPr="00B028CE">
        <w:rPr>
          <w:rFonts w:asciiTheme="minorHAnsi" w:hAnsiTheme="minorHAnsi" w:cs="Calibri"/>
          <w:lang w:eastAsia="en-US"/>
        </w:rPr>
        <w:t>/09/</w:t>
      </w:r>
      <w:r w:rsidR="005516DB" w:rsidRPr="00B028CE">
        <w:rPr>
          <w:rFonts w:asciiTheme="minorHAnsi" w:hAnsiTheme="minorHAnsi" w:cs="Calibri"/>
          <w:lang w:eastAsia="en-US"/>
        </w:rPr>
        <w:t>2018</w:t>
      </w:r>
    </w:p>
    <w:p w:rsidR="00F55736" w:rsidRPr="00B028CE" w:rsidRDefault="00F55736" w:rsidP="00CD207C">
      <w:pPr>
        <w:widowControl w:val="0"/>
        <w:autoSpaceDE w:val="0"/>
        <w:autoSpaceDN w:val="0"/>
        <w:adjustRightInd w:val="0"/>
        <w:spacing w:after="240"/>
        <w:jc w:val="center"/>
        <w:rPr>
          <w:rFonts w:asciiTheme="minorHAnsi" w:hAnsiTheme="minorHAnsi" w:cs="Calibri"/>
          <w:lang w:eastAsia="en-US"/>
        </w:rPr>
      </w:pPr>
      <w:r w:rsidRPr="00B028CE">
        <w:rPr>
          <w:rFonts w:asciiTheme="minorHAnsi" w:hAnsiTheme="minorHAnsi" w:cs="Calibri"/>
          <w:lang w:eastAsia="en-US"/>
        </w:rPr>
        <w:t>Data da Revisão: 19/10/2018</w:t>
      </w:r>
    </w:p>
    <w:p w:rsidR="00077265" w:rsidRPr="007F3363" w:rsidRDefault="00077265" w:rsidP="00CD207C">
      <w:pPr>
        <w:rPr>
          <w:rFonts w:asciiTheme="minorHAnsi" w:hAnsiTheme="minorHAnsi"/>
          <w:b/>
          <w:bCs/>
          <w:smallCaps/>
        </w:rPr>
      </w:pPr>
      <w:r w:rsidRPr="00B028CE">
        <w:rPr>
          <w:rFonts w:asciiTheme="minorHAnsi" w:hAnsiTheme="minorHAnsi"/>
        </w:rPr>
        <w:br w:type="page"/>
      </w:r>
      <w:r w:rsidRPr="007F3363">
        <w:rPr>
          <w:rFonts w:asciiTheme="minorHAnsi" w:hAnsiTheme="minorHAnsi"/>
          <w:b/>
          <w:bCs/>
          <w:smallCaps/>
        </w:rPr>
        <w:lastRenderedPageBreak/>
        <w:t>Índice:</w:t>
      </w:r>
    </w:p>
    <w:p w:rsidR="00CD207C" w:rsidRPr="007F3363" w:rsidRDefault="004E608A" w:rsidP="00CD207C">
      <w:pPr>
        <w:pStyle w:val="Sumrio1"/>
        <w:tabs>
          <w:tab w:val="right" w:leader="dot" w:pos="10054"/>
        </w:tabs>
        <w:rPr>
          <w:b w:val="0"/>
          <w:noProof/>
          <w:sz w:val="22"/>
          <w:szCs w:val="22"/>
          <w:lang w:eastAsia="en-US"/>
        </w:rPr>
      </w:pPr>
      <w:r w:rsidRPr="007F3363">
        <w:rPr>
          <w:b w:val="0"/>
        </w:rPr>
        <w:fldChar w:fldCharType="begin"/>
      </w:r>
      <w:r w:rsidR="005E3749" w:rsidRPr="007F3363">
        <w:rPr>
          <w:b w:val="0"/>
        </w:rPr>
        <w:instrText xml:space="preserve"> TOC \o "1-3" </w:instrText>
      </w:r>
      <w:r w:rsidRPr="007F3363">
        <w:rPr>
          <w:b w:val="0"/>
        </w:rPr>
        <w:fldChar w:fldCharType="separate"/>
      </w:r>
      <w:r w:rsidR="00CD207C" w:rsidRPr="007F3363">
        <w:rPr>
          <w:noProof/>
        </w:rPr>
        <w:t>Introdução</w:t>
      </w:r>
      <w:r w:rsidR="00CD207C" w:rsidRPr="007F3363">
        <w:rPr>
          <w:noProof/>
        </w:rPr>
        <w:tab/>
      </w:r>
      <w:r w:rsidRPr="007F3363">
        <w:rPr>
          <w:noProof/>
        </w:rPr>
        <w:fldChar w:fldCharType="begin"/>
      </w:r>
      <w:r w:rsidR="00CD207C" w:rsidRPr="007F3363">
        <w:rPr>
          <w:noProof/>
        </w:rPr>
        <w:instrText xml:space="preserve"> PAGEREF _Toc494961894 \h </w:instrText>
      </w:r>
      <w:r w:rsidRPr="007F3363">
        <w:rPr>
          <w:noProof/>
        </w:rPr>
      </w:r>
      <w:r w:rsidRPr="007F3363">
        <w:rPr>
          <w:noProof/>
        </w:rPr>
        <w:fldChar w:fldCharType="separate"/>
      </w:r>
      <w:r w:rsidR="00AD7C16">
        <w:rPr>
          <w:noProof/>
        </w:rPr>
        <w:t>4</w:t>
      </w:r>
      <w:r w:rsidRPr="007F3363">
        <w:rPr>
          <w:noProof/>
        </w:rPr>
        <w:fldChar w:fldCharType="end"/>
      </w:r>
    </w:p>
    <w:p w:rsidR="00CD207C" w:rsidRPr="00B5608F" w:rsidRDefault="00CD207C" w:rsidP="00CD207C">
      <w:pPr>
        <w:pStyle w:val="Sumrio1"/>
        <w:tabs>
          <w:tab w:val="right" w:leader="dot" w:pos="10054"/>
        </w:tabs>
        <w:rPr>
          <w:b w:val="0"/>
          <w:noProof/>
          <w:sz w:val="22"/>
          <w:szCs w:val="22"/>
          <w:lang w:eastAsia="en-US"/>
        </w:rPr>
      </w:pPr>
      <w:r w:rsidRPr="007F3363">
        <w:rPr>
          <w:noProof/>
        </w:rPr>
        <w:t>Objetivos de Investimento</w:t>
      </w:r>
      <w:r w:rsidRPr="007F3363">
        <w:rPr>
          <w:noProof/>
        </w:rPr>
        <w:tab/>
      </w:r>
      <w:r w:rsidR="004E608A" w:rsidRPr="007F3363">
        <w:rPr>
          <w:noProof/>
        </w:rPr>
        <w:fldChar w:fldCharType="begin"/>
      </w:r>
      <w:r w:rsidRPr="007F3363">
        <w:rPr>
          <w:noProof/>
        </w:rPr>
        <w:instrText xml:space="preserve"> PAGEREF _Toc494961895 \h </w:instrText>
      </w:r>
      <w:r w:rsidR="004E608A" w:rsidRPr="007F3363">
        <w:rPr>
          <w:noProof/>
        </w:rPr>
      </w:r>
      <w:r w:rsidR="004E608A" w:rsidRPr="007F3363">
        <w:rPr>
          <w:noProof/>
        </w:rPr>
        <w:fldChar w:fldCharType="separate"/>
      </w:r>
      <w:r w:rsidR="00AD7C16">
        <w:rPr>
          <w:noProof/>
        </w:rPr>
        <w:t>5</w:t>
      </w:r>
      <w:r w:rsidR="004E608A" w:rsidRPr="007F3363">
        <w:rPr>
          <w:noProof/>
        </w:rPr>
        <w:fldChar w:fldCharType="end"/>
      </w:r>
    </w:p>
    <w:p w:rsidR="00CD207C" w:rsidRPr="007F3363" w:rsidRDefault="00CD207C" w:rsidP="00CD207C">
      <w:pPr>
        <w:pStyle w:val="Sumrio2"/>
        <w:tabs>
          <w:tab w:val="right" w:leader="dot" w:pos="10054"/>
        </w:tabs>
        <w:rPr>
          <w:b w:val="0"/>
          <w:noProof/>
          <w:lang w:eastAsia="en-US"/>
        </w:rPr>
      </w:pPr>
      <w:r w:rsidRPr="007F3363">
        <w:rPr>
          <w:noProof/>
        </w:rPr>
        <w:t>Meta Atuarial</w:t>
      </w:r>
      <w:r w:rsidRPr="007F3363">
        <w:rPr>
          <w:noProof/>
        </w:rPr>
        <w:tab/>
      </w:r>
      <w:r w:rsidR="004E608A" w:rsidRPr="007F3363">
        <w:rPr>
          <w:noProof/>
        </w:rPr>
        <w:fldChar w:fldCharType="begin"/>
      </w:r>
      <w:r w:rsidRPr="007F3363">
        <w:rPr>
          <w:noProof/>
        </w:rPr>
        <w:instrText xml:space="preserve"> PAGEREF _Toc494961896 \h </w:instrText>
      </w:r>
      <w:r w:rsidR="004E608A" w:rsidRPr="007F3363">
        <w:rPr>
          <w:noProof/>
        </w:rPr>
      </w:r>
      <w:r w:rsidR="004E608A" w:rsidRPr="007F3363">
        <w:rPr>
          <w:noProof/>
        </w:rPr>
        <w:fldChar w:fldCharType="separate"/>
      </w:r>
      <w:r w:rsidR="00AD7C16">
        <w:rPr>
          <w:noProof/>
        </w:rPr>
        <w:t>5</w:t>
      </w:r>
      <w:r w:rsidR="004E608A" w:rsidRPr="007F3363">
        <w:rPr>
          <w:noProof/>
        </w:rPr>
        <w:fldChar w:fldCharType="end"/>
      </w:r>
    </w:p>
    <w:p w:rsidR="00CD207C" w:rsidRPr="007F3363" w:rsidRDefault="00CD207C" w:rsidP="00CD207C">
      <w:pPr>
        <w:pStyle w:val="Sumrio2"/>
        <w:tabs>
          <w:tab w:val="right" w:leader="dot" w:pos="10054"/>
        </w:tabs>
        <w:rPr>
          <w:b w:val="0"/>
          <w:noProof/>
          <w:lang w:eastAsia="en-US"/>
        </w:rPr>
      </w:pPr>
      <w:r w:rsidRPr="007F3363">
        <w:rPr>
          <w:noProof/>
        </w:rPr>
        <w:t xml:space="preserve">Meta de Rentabilidade para </w:t>
      </w:r>
      <w:r w:rsidR="00F55736" w:rsidRPr="00B028CE">
        <w:rPr>
          <w:noProof/>
        </w:rPr>
        <w:t>2019</w:t>
      </w:r>
      <w:r w:rsidRPr="00B028CE">
        <w:rPr>
          <w:noProof/>
        </w:rPr>
        <w:t xml:space="preserve"> -</w:t>
      </w:r>
      <w:r w:rsidRPr="007F3363">
        <w:rPr>
          <w:noProof/>
        </w:rPr>
        <w:t xml:space="preserve"> Índice de Referência</w:t>
      </w:r>
      <w:r w:rsidRPr="007F3363">
        <w:rPr>
          <w:noProof/>
        </w:rPr>
        <w:tab/>
      </w:r>
      <w:r w:rsidR="004E608A" w:rsidRPr="007F3363">
        <w:rPr>
          <w:noProof/>
        </w:rPr>
        <w:fldChar w:fldCharType="begin"/>
      </w:r>
      <w:r w:rsidRPr="007F3363">
        <w:rPr>
          <w:noProof/>
        </w:rPr>
        <w:instrText xml:space="preserve"> PAGEREF _Toc494961897 \h </w:instrText>
      </w:r>
      <w:r w:rsidR="004E608A" w:rsidRPr="007F3363">
        <w:rPr>
          <w:noProof/>
        </w:rPr>
      </w:r>
      <w:r w:rsidR="004E608A" w:rsidRPr="007F3363">
        <w:rPr>
          <w:noProof/>
        </w:rPr>
        <w:fldChar w:fldCharType="separate"/>
      </w:r>
      <w:r w:rsidR="00AD7C16">
        <w:rPr>
          <w:noProof/>
        </w:rPr>
        <w:t>5</w:t>
      </w:r>
      <w:r w:rsidR="004E608A" w:rsidRPr="007F3363">
        <w:rPr>
          <w:noProof/>
        </w:rPr>
        <w:fldChar w:fldCharType="end"/>
      </w:r>
    </w:p>
    <w:p w:rsidR="00CD207C" w:rsidRPr="007F3363" w:rsidRDefault="00CD207C" w:rsidP="00CD207C">
      <w:pPr>
        <w:pStyle w:val="Sumrio2"/>
        <w:tabs>
          <w:tab w:val="right" w:leader="dot" w:pos="10054"/>
        </w:tabs>
        <w:rPr>
          <w:b w:val="0"/>
          <w:noProof/>
          <w:lang w:eastAsia="en-US"/>
        </w:rPr>
      </w:pPr>
      <w:r w:rsidRPr="007F3363">
        <w:rPr>
          <w:noProof/>
          <w:lang w:eastAsia="en-US"/>
        </w:rPr>
        <w:t>Expectativa de Meta Atuarial para</w:t>
      </w:r>
      <w:r w:rsidRPr="00B028CE">
        <w:rPr>
          <w:noProof/>
          <w:lang w:eastAsia="en-US"/>
        </w:rPr>
        <w:t xml:space="preserve"> </w:t>
      </w:r>
      <w:r w:rsidR="00F55736" w:rsidRPr="00B028CE">
        <w:rPr>
          <w:noProof/>
          <w:lang w:eastAsia="en-US"/>
        </w:rPr>
        <w:t>2019</w:t>
      </w:r>
      <w:r w:rsidRPr="007F3363">
        <w:rPr>
          <w:noProof/>
        </w:rPr>
        <w:tab/>
      </w:r>
      <w:r w:rsidR="004E608A" w:rsidRPr="007F3363">
        <w:rPr>
          <w:noProof/>
        </w:rPr>
        <w:fldChar w:fldCharType="begin"/>
      </w:r>
      <w:r w:rsidRPr="007F3363">
        <w:rPr>
          <w:noProof/>
        </w:rPr>
        <w:instrText xml:space="preserve"> PAGEREF _Toc494961898 \h </w:instrText>
      </w:r>
      <w:r w:rsidR="004E608A" w:rsidRPr="007F3363">
        <w:rPr>
          <w:noProof/>
        </w:rPr>
      </w:r>
      <w:r w:rsidR="004E608A" w:rsidRPr="007F3363">
        <w:rPr>
          <w:noProof/>
        </w:rPr>
        <w:fldChar w:fldCharType="separate"/>
      </w:r>
      <w:r w:rsidR="00AD7C16">
        <w:rPr>
          <w:noProof/>
        </w:rPr>
        <w:t>5</w:t>
      </w:r>
      <w:r w:rsidR="004E608A" w:rsidRPr="007F3363">
        <w:rPr>
          <w:noProof/>
        </w:rPr>
        <w:fldChar w:fldCharType="end"/>
      </w:r>
    </w:p>
    <w:p w:rsidR="00CD207C" w:rsidRPr="007F3363" w:rsidRDefault="00CD207C" w:rsidP="00CD207C">
      <w:pPr>
        <w:pStyle w:val="Sumrio2"/>
        <w:tabs>
          <w:tab w:val="right" w:leader="dot" w:pos="10054"/>
        </w:tabs>
        <w:rPr>
          <w:b w:val="0"/>
          <w:noProof/>
          <w:lang w:eastAsia="en-US"/>
        </w:rPr>
      </w:pPr>
      <w:r w:rsidRPr="007F3363">
        <w:rPr>
          <w:noProof/>
          <w:lang w:eastAsia="en-US"/>
        </w:rPr>
        <w:t>Aderência das Metas de Rentabilidade ao Perfil da Carteira do RPPS e das Obrigações do Plano</w:t>
      </w:r>
      <w:r w:rsidRPr="007F3363">
        <w:rPr>
          <w:noProof/>
        </w:rPr>
        <w:tab/>
      </w:r>
      <w:r w:rsidR="004E608A" w:rsidRPr="007F3363">
        <w:rPr>
          <w:noProof/>
        </w:rPr>
        <w:fldChar w:fldCharType="begin"/>
      </w:r>
      <w:r w:rsidRPr="007F3363">
        <w:rPr>
          <w:noProof/>
        </w:rPr>
        <w:instrText xml:space="preserve"> PAGEREF _Toc494961899 \h </w:instrText>
      </w:r>
      <w:r w:rsidR="004E608A" w:rsidRPr="007F3363">
        <w:rPr>
          <w:noProof/>
        </w:rPr>
      </w:r>
      <w:r w:rsidR="004E608A" w:rsidRPr="007F3363">
        <w:rPr>
          <w:noProof/>
        </w:rPr>
        <w:fldChar w:fldCharType="separate"/>
      </w:r>
      <w:r w:rsidR="00AD7C16">
        <w:rPr>
          <w:noProof/>
        </w:rPr>
        <w:t>6</w:t>
      </w:r>
      <w:r w:rsidR="004E608A" w:rsidRPr="007F3363">
        <w:rPr>
          <w:noProof/>
        </w:rPr>
        <w:fldChar w:fldCharType="end"/>
      </w:r>
    </w:p>
    <w:p w:rsidR="00CD207C" w:rsidRPr="007F3363" w:rsidRDefault="00CD207C" w:rsidP="00CD207C">
      <w:pPr>
        <w:pStyle w:val="Sumrio2"/>
        <w:tabs>
          <w:tab w:val="right" w:leader="dot" w:pos="10054"/>
        </w:tabs>
        <w:rPr>
          <w:b w:val="0"/>
          <w:noProof/>
          <w:lang w:eastAsia="en-US"/>
        </w:rPr>
      </w:pPr>
      <w:r w:rsidRPr="007F3363">
        <w:rPr>
          <w:noProof/>
        </w:rPr>
        <w:t>Perfil do Fundo</w:t>
      </w:r>
      <w:r w:rsidRPr="007F3363">
        <w:rPr>
          <w:noProof/>
        </w:rPr>
        <w:tab/>
      </w:r>
      <w:r w:rsidR="004E608A" w:rsidRPr="007F3363">
        <w:rPr>
          <w:noProof/>
        </w:rPr>
        <w:fldChar w:fldCharType="begin"/>
      </w:r>
      <w:r w:rsidRPr="007F3363">
        <w:rPr>
          <w:noProof/>
        </w:rPr>
        <w:instrText xml:space="preserve"> PAGEREF _Toc494961900 \h </w:instrText>
      </w:r>
      <w:r w:rsidR="004E608A" w:rsidRPr="007F3363">
        <w:rPr>
          <w:noProof/>
        </w:rPr>
      </w:r>
      <w:r w:rsidR="004E608A" w:rsidRPr="007F3363">
        <w:rPr>
          <w:noProof/>
        </w:rPr>
        <w:fldChar w:fldCharType="separate"/>
      </w:r>
      <w:r w:rsidR="00AD7C16">
        <w:rPr>
          <w:noProof/>
        </w:rPr>
        <w:t>6</w:t>
      </w:r>
      <w:r w:rsidR="004E608A" w:rsidRPr="007F3363">
        <w:rPr>
          <w:noProof/>
        </w:rPr>
        <w:fldChar w:fldCharType="end"/>
      </w:r>
    </w:p>
    <w:p w:rsidR="00CD207C" w:rsidRPr="007F3363" w:rsidRDefault="00CD207C" w:rsidP="00CD207C">
      <w:pPr>
        <w:pStyle w:val="Sumrio1"/>
        <w:tabs>
          <w:tab w:val="right" w:leader="dot" w:pos="10054"/>
        </w:tabs>
        <w:rPr>
          <w:b w:val="0"/>
          <w:noProof/>
          <w:sz w:val="22"/>
          <w:szCs w:val="22"/>
          <w:lang w:eastAsia="en-US"/>
        </w:rPr>
      </w:pPr>
      <w:r w:rsidRPr="007F3363">
        <w:rPr>
          <w:noProof/>
          <w:lang w:eastAsia="en-US"/>
        </w:rPr>
        <w:t>Funcionamento do Fundo</w:t>
      </w:r>
      <w:r w:rsidRPr="007F3363">
        <w:rPr>
          <w:noProof/>
        </w:rPr>
        <w:tab/>
      </w:r>
      <w:r w:rsidR="004E608A" w:rsidRPr="007F3363">
        <w:rPr>
          <w:noProof/>
        </w:rPr>
        <w:fldChar w:fldCharType="begin"/>
      </w:r>
      <w:r w:rsidRPr="007F3363">
        <w:rPr>
          <w:noProof/>
        </w:rPr>
        <w:instrText xml:space="preserve"> PAGEREF _Toc494961901 \h </w:instrText>
      </w:r>
      <w:r w:rsidR="004E608A" w:rsidRPr="007F3363">
        <w:rPr>
          <w:noProof/>
        </w:rPr>
      </w:r>
      <w:r w:rsidR="004E608A" w:rsidRPr="007F3363">
        <w:rPr>
          <w:noProof/>
        </w:rPr>
        <w:fldChar w:fldCharType="separate"/>
      </w:r>
      <w:r w:rsidR="00AD7C16">
        <w:rPr>
          <w:noProof/>
        </w:rPr>
        <w:t>9</w:t>
      </w:r>
      <w:r w:rsidR="004E608A" w:rsidRPr="007F3363">
        <w:rPr>
          <w:noProof/>
        </w:rPr>
        <w:fldChar w:fldCharType="end"/>
      </w:r>
    </w:p>
    <w:p w:rsidR="00CD207C" w:rsidRPr="007F3363" w:rsidRDefault="00CD207C" w:rsidP="00CD207C">
      <w:pPr>
        <w:pStyle w:val="Sumrio2"/>
        <w:tabs>
          <w:tab w:val="right" w:leader="dot" w:pos="10054"/>
        </w:tabs>
        <w:rPr>
          <w:b w:val="0"/>
          <w:noProof/>
          <w:lang w:eastAsia="en-US"/>
        </w:rPr>
      </w:pPr>
      <w:r w:rsidRPr="007F3363">
        <w:rPr>
          <w:noProof/>
          <w:lang w:eastAsia="en-US"/>
        </w:rPr>
        <w:t>Modelo de Gestão</w:t>
      </w:r>
      <w:r w:rsidRPr="007F3363">
        <w:rPr>
          <w:noProof/>
        </w:rPr>
        <w:tab/>
      </w:r>
      <w:r w:rsidR="004E608A" w:rsidRPr="007F3363">
        <w:rPr>
          <w:noProof/>
        </w:rPr>
        <w:fldChar w:fldCharType="begin"/>
      </w:r>
      <w:r w:rsidRPr="007F3363">
        <w:rPr>
          <w:noProof/>
        </w:rPr>
        <w:instrText xml:space="preserve"> PAGEREF _Toc494961902 \h </w:instrText>
      </w:r>
      <w:r w:rsidR="004E608A" w:rsidRPr="007F3363">
        <w:rPr>
          <w:noProof/>
        </w:rPr>
      </w:r>
      <w:r w:rsidR="004E608A" w:rsidRPr="007F3363">
        <w:rPr>
          <w:noProof/>
        </w:rPr>
        <w:fldChar w:fldCharType="separate"/>
      </w:r>
      <w:r w:rsidR="00AD7C16">
        <w:rPr>
          <w:noProof/>
        </w:rPr>
        <w:t>9</w:t>
      </w:r>
      <w:r w:rsidR="004E608A" w:rsidRPr="007F3363">
        <w:rPr>
          <w:noProof/>
        </w:rPr>
        <w:fldChar w:fldCharType="end"/>
      </w:r>
    </w:p>
    <w:p w:rsidR="00CD207C" w:rsidRPr="007F3363" w:rsidRDefault="00CD207C" w:rsidP="00CD207C">
      <w:pPr>
        <w:pStyle w:val="Sumrio3"/>
        <w:tabs>
          <w:tab w:val="right" w:leader="dot" w:pos="10054"/>
        </w:tabs>
        <w:rPr>
          <w:noProof/>
          <w:lang w:eastAsia="en-US"/>
        </w:rPr>
      </w:pPr>
      <w:r w:rsidRPr="007F3363">
        <w:rPr>
          <w:noProof/>
          <w:lang w:eastAsia="en-US"/>
        </w:rPr>
        <w:t>Administradores de Carteira de Valores Mobiliários</w:t>
      </w:r>
      <w:r w:rsidRPr="007F3363">
        <w:rPr>
          <w:noProof/>
        </w:rPr>
        <w:tab/>
      </w:r>
      <w:r w:rsidR="004E608A" w:rsidRPr="007F3363">
        <w:rPr>
          <w:noProof/>
        </w:rPr>
        <w:fldChar w:fldCharType="begin"/>
      </w:r>
      <w:r w:rsidRPr="007F3363">
        <w:rPr>
          <w:noProof/>
        </w:rPr>
        <w:instrText xml:space="preserve"> PAGEREF _Toc494961903 \h </w:instrText>
      </w:r>
      <w:r w:rsidR="004E608A" w:rsidRPr="007F3363">
        <w:rPr>
          <w:noProof/>
        </w:rPr>
      </w:r>
      <w:r w:rsidR="004E608A" w:rsidRPr="007F3363">
        <w:rPr>
          <w:noProof/>
        </w:rPr>
        <w:fldChar w:fldCharType="separate"/>
      </w:r>
      <w:r w:rsidR="00AD7C16">
        <w:rPr>
          <w:noProof/>
        </w:rPr>
        <w:t>9</w:t>
      </w:r>
      <w:r w:rsidR="004E608A" w:rsidRPr="007F3363">
        <w:rPr>
          <w:noProof/>
        </w:rPr>
        <w:fldChar w:fldCharType="end"/>
      </w:r>
    </w:p>
    <w:p w:rsidR="00CD207C" w:rsidRPr="007F3363" w:rsidRDefault="00CD207C" w:rsidP="00CD207C">
      <w:pPr>
        <w:pStyle w:val="Sumrio3"/>
        <w:tabs>
          <w:tab w:val="right" w:leader="dot" w:pos="10054"/>
        </w:tabs>
        <w:rPr>
          <w:noProof/>
          <w:lang w:eastAsia="en-US"/>
        </w:rPr>
      </w:pPr>
      <w:r w:rsidRPr="007F3363">
        <w:rPr>
          <w:noProof/>
          <w:lang w:eastAsia="en-US"/>
        </w:rPr>
        <w:t>Contratação de Consultoria</w:t>
      </w:r>
      <w:r w:rsidRPr="007F3363">
        <w:rPr>
          <w:noProof/>
        </w:rPr>
        <w:tab/>
      </w:r>
      <w:bookmarkStart w:id="0" w:name="_GoBack"/>
      <w:bookmarkEnd w:id="0"/>
      <w:r w:rsidR="004E608A" w:rsidRPr="007F3363">
        <w:rPr>
          <w:noProof/>
        </w:rPr>
        <w:fldChar w:fldCharType="begin"/>
      </w:r>
      <w:r w:rsidRPr="007F3363">
        <w:rPr>
          <w:noProof/>
        </w:rPr>
        <w:instrText xml:space="preserve"> PAGEREF _Toc494961904 \h </w:instrText>
      </w:r>
      <w:r w:rsidR="004E608A" w:rsidRPr="007F3363">
        <w:rPr>
          <w:noProof/>
        </w:rPr>
      </w:r>
      <w:r w:rsidR="004E608A" w:rsidRPr="007F3363">
        <w:rPr>
          <w:noProof/>
        </w:rPr>
        <w:fldChar w:fldCharType="separate"/>
      </w:r>
      <w:r w:rsidR="00AD7C16">
        <w:rPr>
          <w:noProof/>
        </w:rPr>
        <w:t>10</w:t>
      </w:r>
      <w:r w:rsidR="004E608A" w:rsidRPr="007F3363">
        <w:rPr>
          <w:noProof/>
        </w:rPr>
        <w:fldChar w:fldCharType="end"/>
      </w:r>
    </w:p>
    <w:p w:rsidR="00CD207C" w:rsidRPr="007F3363" w:rsidRDefault="00CD207C" w:rsidP="00CD207C">
      <w:pPr>
        <w:pStyle w:val="Sumrio3"/>
        <w:tabs>
          <w:tab w:val="right" w:leader="dot" w:pos="10054"/>
        </w:tabs>
        <w:rPr>
          <w:noProof/>
          <w:lang w:eastAsia="en-US"/>
        </w:rPr>
      </w:pPr>
      <w:r w:rsidRPr="007F3363">
        <w:rPr>
          <w:noProof/>
          <w:lang w:eastAsia="en-US"/>
        </w:rPr>
        <w:t>Agente Custodiante</w:t>
      </w:r>
      <w:r w:rsidRPr="007F3363">
        <w:rPr>
          <w:noProof/>
        </w:rPr>
        <w:tab/>
      </w:r>
      <w:r w:rsidR="004E608A" w:rsidRPr="007F3363">
        <w:rPr>
          <w:noProof/>
        </w:rPr>
        <w:fldChar w:fldCharType="begin"/>
      </w:r>
      <w:r w:rsidRPr="007F3363">
        <w:rPr>
          <w:noProof/>
        </w:rPr>
        <w:instrText xml:space="preserve"> PAGEREF _Toc494961905 \h </w:instrText>
      </w:r>
      <w:r w:rsidR="004E608A" w:rsidRPr="007F3363">
        <w:rPr>
          <w:noProof/>
        </w:rPr>
      </w:r>
      <w:r w:rsidR="004E608A" w:rsidRPr="007F3363">
        <w:rPr>
          <w:noProof/>
        </w:rPr>
        <w:fldChar w:fldCharType="separate"/>
      </w:r>
      <w:r w:rsidR="00AD7C16">
        <w:rPr>
          <w:noProof/>
        </w:rPr>
        <w:t>10</w:t>
      </w:r>
      <w:r w:rsidR="004E608A" w:rsidRPr="007F3363">
        <w:rPr>
          <w:noProof/>
        </w:rPr>
        <w:fldChar w:fldCharType="end"/>
      </w:r>
    </w:p>
    <w:p w:rsidR="00CD207C" w:rsidRPr="007F3363" w:rsidRDefault="00CD207C" w:rsidP="00CD207C">
      <w:pPr>
        <w:pStyle w:val="Sumrio2"/>
        <w:tabs>
          <w:tab w:val="right" w:leader="dot" w:pos="10054"/>
        </w:tabs>
        <w:rPr>
          <w:b w:val="0"/>
          <w:noProof/>
          <w:lang w:eastAsia="en-US"/>
        </w:rPr>
      </w:pPr>
      <w:r w:rsidRPr="007F3363">
        <w:rPr>
          <w:noProof/>
          <w:lang w:eastAsia="en-US"/>
        </w:rPr>
        <w:t>Responsabilidades dos Gestores</w:t>
      </w:r>
      <w:r w:rsidRPr="007F3363">
        <w:rPr>
          <w:noProof/>
        </w:rPr>
        <w:tab/>
      </w:r>
      <w:r w:rsidR="004E608A" w:rsidRPr="007F3363">
        <w:rPr>
          <w:noProof/>
        </w:rPr>
        <w:fldChar w:fldCharType="begin"/>
      </w:r>
      <w:r w:rsidRPr="007F3363">
        <w:rPr>
          <w:noProof/>
        </w:rPr>
        <w:instrText xml:space="preserve"> PAGEREF _Toc494961906 \h </w:instrText>
      </w:r>
      <w:r w:rsidR="004E608A" w:rsidRPr="007F3363">
        <w:rPr>
          <w:noProof/>
        </w:rPr>
      </w:r>
      <w:r w:rsidR="004E608A" w:rsidRPr="007F3363">
        <w:rPr>
          <w:noProof/>
        </w:rPr>
        <w:fldChar w:fldCharType="separate"/>
      </w:r>
      <w:r w:rsidR="00AD7C16">
        <w:rPr>
          <w:noProof/>
        </w:rPr>
        <w:t>10</w:t>
      </w:r>
      <w:r w:rsidR="004E608A" w:rsidRPr="007F3363">
        <w:rPr>
          <w:noProof/>
        </w:rPr>
        <w:fldChar w:fldCharType="end"/>
      </w:r>
    </w:p>
    <w:p w:rsidR="00CD207C" w:rsidRPr="007F3363" w:rsidRDefault="00CD207C" w:rsidP="00CD207C">
      <w:pPr>
        <w:pStyle w:val="Sumrio2"/>
        <w:tabs>
          <w:tab w:val="right" w:leader="dot" w:pos="10054"/>
        </w:tabs>
        <w:rPr>
          <w:b w:val="0"/>
          <w:noProof/>
          <w:lang w:eastAsia="en-US"/>
        </w:rPr>
      </w:pPr>
      <w:r w:rsidRPr="007F3363">
        <w:rPr>
          <w:noProof/>
          <w:lang w:eastAsia="en-US"/>
        </w:rPr>
        <w:t>Responsabilidades do Conselho de Administração</w:t>
      </w:r>
      <w:r w:rsidRPr="007F3363">
        <w:rPr>
          <w:noProof/>
        </w:rPr>
        <w:tab/>
      </w:r>
      <w:r w:rsidR="004E608A" w:rsidRPr="007F3363">
        <w:rPr>
          <w:noProof/>
        </w:rPr>
        <w:fldChar w:fldCharType="begin"/>
      </w:r>
      <w:r w:rsidRPr="007F3363">
        <w:rPr>
          <w:noProof/>
        </w:rPr>
        <w:instrText xml:space="preserve"> PAGEREF _Toc494961907 \h </w:instrText>
      </w:r>
      <w:r w:rsidR="004E608A" w:rsidRPr="007F3363">
        <w:rPr>
          <w:noProof/>
        </w:rPr>
      </w:r>
      <w:r w:rsidR="004E608A" w:rsidRPr="007F3363">
        <w:rPr>
          <w:noProof/>
        </w:rPr>
        <w:fldChar w:fldCharType="separate"/>
      </w:r>
      <w:r w:rsidR="00AD7C16">
        <w:rPr>
          <w:noProof/>
        </w:rPr>
        <w:t>11</w:t>
      </w:r>
      <w:r w:rsidR="004E608A" w:rsidRPr="007F3363">
        <w:rPr>
          <w:noProof/>
        </w:rPr>
        <w:fldChar w:fldCharType="end"/>
      </w:r>
    </w:p>
    <w:p w:rsidR="00CD207C" w:rsidRPr="007F3363" w:rsidRDefault="00CD207C" w:rsidP="00CD207C">
      <w:pPr>
        <w:pStyle w:val="Sumrio2"/>
        <w:tabs>
          <w:tab w:val="right" w:leader="dot" w:pos="10054"/>
        </w:tabs>
        <w:rPr>
          <w:b w:val="0"/>
          <w:noProof/>
          <w:lang w:eastAsia="en-US"/>
        </w:rPr>
      </w:pPr>
      <w:r w:rsidRPr="007F3363">
        <w:rPr>
          <w:noProof/>
          <w:lang w:eastAsia="en-US"/>
        </w:rPr>
        <w:t>Responsabilidades do Comitê de Investimentos</w:t>
      </w:r>
      <w:r w:rsidRPr="007F3363">
        <w:rPr>
          <w:noProof/>
        </w:rPr>
        <w:tab/>
      </w:r>
      <w:r w:rsidR="004E608A" w:rsidRPr="007F3363">
        <w:rPr>
          <w:noProof/>
        </w:rPr>
        <w:fldChar w:fldCharType="begin"/>
      </w:r>
      <w:r w:rsidRPr="007F3363">
        <w:rPr>
          <w:noProof/>
        </w:rPr>
        <w:instrText xml:space="preserve"> PAGEREF _Toc494961908 \h </w:instrText>
      </w:r>
      <w:r w:rsidR="004E608A" w:rsidRPr="007F3363">
        <w:rPr>
          <w:noProof/>
        </w:rPr>
      </w:r>
      <w:r w:rsidR="004E608A" w:rsidRPr="007F3363">
        <w:rPr>
          <w:noProof/>
        </w:rPr>
        <w:fldChar w:fldCharType="separate"/>
      </w:r>
      <w:r w:rsidR="00AD7C16">
        <w:rPr>
          <w:noProof/>
        </w:rPr>
        <w:t>13</w:t>
      </w:r>
      <w:r w:rsidR="004E608A" w:rsidRPr="007F3363">
        <w:rPr>
          <w:noProof/>
        </w:rPr>
        <w:fldChar w:fldCharType="end"/>
      </w:r>
    </w:p>
    <w:p w:rsidR="00CD207C" w:rsidRPr="007F3363" w:rsidRDefault="00CD207C" w:rsidP="00CD207C">
      <w:pPr>
        <w:pStyle w:val="Sumrio1"/>
        <w:tabs>
          <w:tab w:val="right" w:leader="dot" w:pos="10054"/>
        </w:tabs>
        <w:rPr>
          <w:b w:val="0"/>
          <w:noProof/>
          <w:sz w:val="22"/>
          <w:szCs w:val="22"/>
          <w:lang w:eastAsia="en-US"/>
        </w:rPr>
      </w:pPr>
      <w:r w:rsidRPr="007F3363">
        <w:rPr>
          <w:noProof/>
          <w:lang w:eastAsia="en-US"/>
        </w:rPr>
        <w:t>Segmentos de Aplicação e Limites</w:t>
      </w:r>
      <w:r w:rsidRPr="007F3363">
        <w:rPr>
          <w:noProof/>
        </w:rPr>
        <w:tab/>
      </w:r>
      <w:r w:rsidR="004E608A" w:rsidRPr="007F3363">
        <w:rPr>
          <w:noProof/>
        </w:rPr>
        <w:fldChar w:fldCharType="begin"/>
      </w:r>
      <w:r w:rsidRPr="007F3363">
        <w:rPr>
          <w:noProof/>
        </w:rPr>
        <w:instrText xml:space="preserve"> PAGEREF _Toc494961910 \h </w:instrText>
      </w:r>
      <w:r w:rsidR="004E608A" w:rsidRPr="007F3363">
        <w:rPr>
          <w:noProof/>
        </w:rPr>
      </w:r>
      <w:r w:rsidR="004E608A" w:rsidRPr="007F3363">
        <w:rPr>
          <w:noProof/>
        </w:rPr>
        <w:fldChar w:fldCharType="separate"/>
      </w:r>
      <w:r w:rsidR="00AD7C16">
        <w:rPr>
          <w:noProof/>
        </w:rPr>
        <w:t>13</w:t>
      </w:r>
      <w:r w:rsidR="004E608A" w:rsidRPr="007F3363">
        <w:rPr>
          <w:noProof/>
        </w:rPr>
        <w:fldChar w:fldCharType="end"/>
      </w:r>
    </w:p>
    <w:p w:rsidR="00CD207C" w:rsidRPr="007F3363" w:rsidRDefault="00CD207C" w:rsidP="00CD207C">
      <w:pPr>
        <w:pStyle w:val="Sumrio2"/>
        <w:tabs>
          <w:tab w:val="right" w:leader="dot" w:pos="10054"/>
        </w:tabs>
        <w:rPr>
          <w:b w:val="0"/>
          <w:noProof/>
          <w:lang w:eastAsia="en-US"/>
        </w:rPr>
      </w:pPr>
      <w:r w:rsidRPr="007F3363">
        <w:rPr>
          <w:noProof/>
          <w:lang w:eastAsia="en-US"/>
        </w:rPr>
        <w:t>Limites de Alocação dos Recursos – Resolução 3.922/2010</w:t>
      </w:r>
      <w:r w:rsidRPr="007F3363">
        <w:rPr>
          <w:noProof/>
        </w:rPr>
        <w:tab/>
      </w:r>
      <w:r w:rsidR="004E608A" w:rsidRPr="007F3363">
        <w:rPr>
          <w:noProof/>
        </w:rPr>
        <w:fldChar w:fldCharType="begin"/>
      </w:r>
      <w:r w:rsidRPr="007F3363">
        <w:rPr>
          <w:noProof/>
        </w:rPr>
        <w:instrText xml:space="preserve"> PAGEREF _Toc494961911 \h </w:instrText>
      </w:r>
      <w:r w:rsidR="004E608A" w:rsidRPr="007F3363">
        <w:rPr>
          <w:noProof/>
        </w:rPr>
      </w:r>
      <w:r w:rsidR="004E608A" w:rsidRPr="007F3363">
        <w:rPr>
          <w:noProof/>
        </w:rPr>
        <w:fldChar w:fldCharType="separate"/>
      </w:r>
      <w:r w:rsidR="00AD7C16">
        <w:rPr>
          <w:noProof/>
        </w:rPr>
        <w:t>13</w:t>
      </w:r>
      <w:r w:rsidR="004E608A" w:rsidRPr="007F3363">
        <w:rPr>
          <w:noProof/>
        </w:rPr>
        <w:fldChar w:fldCharType="end"/>
      </w:r>
    </w:p>
    <w:p w:rsidR="00CD207C" w:rsidRPr="007341B5" w:rsidRDefault="00CD207C" w:rsidP="00CD207C">
      <w:pPr>
        <w:pStyle w:val="Sumrio3"/>
        <w:tabs>
          <w:tab w:val="right" w:leader="dot" w:pos="10054"/>
        </w:tabs>
        <w:rPr>
          <w:noProof/>
          <w:lang w:eastAsia="en-US"/>
        </w:rPr>
      </w:pPr>
      <w:r w:rsidRPr="007F3363">
        <w:rPr>
          <w:noProof/>
          <w:lang w:eastAsia="en-US"/>
        </w:rPr>
        <w:t>Segmento de Renda Fixa</w:t>
      </w:r>
      <w:r w:rsidRPr="007F3363">
        <w:rPr>
          <w:noProof/>
        </w:rPr>
        <w:tab/>
      </w:r>
      <w:r w:rsidR="007341B5">
        <w:rPr>
          <w:noProof/>
        </w:rPr>
        <w:t>14</w:t>
      </w:r>
    </w:p>
    <w:p w:rsidR="00CD207C" w:rsidRPr="007341B5" w:rsidRDefault="00CD207C" w:rsidP="00CD207C">
      <w:pPr>
        <w:pStyle w:val="Sumrio3"/>
        <w:tabs>
          <w:tab w:val="right" w:leader="dot" w:pos="10054"/>
        </w:tabs>
        <w:rPr>
          <w:noProof/>
          <w:lang w:eastAsia="en-US"/>
        </w:rPr>
      </w:pPr>
      <w:r w:rsidRPr="007F3363">
        <w:rPr>
          <w:noProof/>
          <w:lang w:eastAsia="en-US"/>
        </w:rPr>
        <w:t>Segmento de Renda Variável</w:t>
      </w:r>
      <w:r w:rsidRPr="007F3363">
        <w:rPr>
          <w:noProof/>
        </w:rPr>
        <w:tab/>
      </w:r>
      <w:r w:rsidR="007341B5">
        <w:rPr>
          <w:noProof/>
        </w:rPr>
        <w:t>14</w:t>
      </w:r>
    </w:p>
    <w:p w:rsidR="00CD207C" w:rsidRPr="007341B5" w:rsidRDefault="00CD207C" w:rsidP="00CD207C">
      <w:pPr>
        <w:pStyle w:val="Sumrio3"/>
        <w:tabs>
          <w:tab w:val="right" w:leader="dot" w:pos="10054"/>
        </w:tabs>
        <w:rPr>
          <w:noProof/>
          <w:lang w:eastAsia="en-US"/>
        </w:rPr>
      </w:pPr>
      <w:r w:rsidRPr="007F3363">
        <w:rPr>
          <w:noProof/>
          <w:lang w:eastAsia="en-US"/>
        </w:rPr>
        <w:t>Segmento Imóveis</w:t>
      </w:r>
      <w:r w:rsidRPr="007F3363">
        <w:rPr>
          <w:noProof/>
        </w:rPr>
        <w:tab/>
      </w:r>
      <w:r w:rsidR="007341B5">
        <w:rPr>
          <w:noProof/>
        </w:rPr>
        <w:t>15</w:t>
      </w:r>
    </w:p>
    <w:p w:rsidR="00CD207C" w:rsidRPr="007341B5" w:rsidRDefault="00CD207C" w:rsidP="00CD207C">
      <w:pPr>
        <w:pStyle w:val="Sumrio3"/>
        <w:tabs>
          <w:tab w:val="right" w:leader="dot" w:pos="10054"/>
        </w:tabs>
        <w:rPr>
          <w:noProof/>
          <w:lang w:eastAsia="en-US"/>
        </w:rPr>
      </w:pPr>
      <w:r w:rsidRPr="007F3363">
        <w:rPr>
          <w:noProof/>
          <w:lang w:eastAsia="en-US"/>
        </w:rPr>
        <w:t>Limites Adicionais – Resolução 3.922/2010</w:t>
      </w:r>
      <w:r w:rsidRPr="007F3363">
        <w:rPr>
          <w:noProof/>
        </w:rPr>
        <w:tab/>
      </w:r>
      <w:r w:rsidR="007341B5">
        <w:rPr>
          <w:noProof/>
        </w:rPr>
        <w:t>15</w:t>
      </w:r>
    </w:p>
    <w:p w:rsidR="00CD207C" w:rsidRPr="007F3363" w:rsidRDefault="00CD207C" w:rsidP="00CD207C">
      <w:pPr>
        <w:pStyle w:val="Sumrio3"/>
        <w:tabs>
          <w:tab w:val="right" w:leader="dot" w:pos="10054"/>
        </w:tabs>
        <w:rPr>
          <w:noProof/>
          <w:lang w:eastAsia="en-US"/>
        </w:rPr>
      </w:pPr>
      <w:r w:rsidRPr="007F3363">
        <w:rPr>
          <w:noProof/>
        </w:rPr>
        <w:t>Operações com Derivativos</w:t>
      </w:r>
      <w:r w:rsidRPr="007F3363">
        <w:rPr>
          <w:noProof/>
        </w:rPr>
        <w:tab/>
      </w:r>
      <w:r w:rsidR="004E608A" w:rsidRPr="007F3363">
        <w:rPr>
          <w:noProof/>
        </w:rPr>
        <w:fldChar w:fldCharType="begin"/>
      </w:r>
      <w:r w:rsidRPr="007F3363">
        <w:rPr>
          <w:noProof/>
        </w:rPr>
        <w:instrText xml:space="preserve"> PAGEREF _Toc494961916 \h </w:instrText>
      </w:r>
      <w:r w:rsidR="004E608A" w:rsidRPr="007F3363">
        <w:rPr>
          <w:noProof/>
        </w:rPr>
      </w:r>
      <w:r w:rsidR="004E608A" w:rsidRPr="007F3363">
        <w:rPr>
          <w:noProof/>
        </w:rPr>
        <w:fldChar w:fldCharType="separate"/>
      </w:r>
      <w:r w:rsidR="00AD7C16">
        <w:rPr>
          <w:noProof/>
        </w:rPr>
        <w:t>16</w:t>
      </w:r>
      <w:r w:rsidR="004E608A" w:rsidRPr="007F3363">
        <w:rPr>
          <w:noProof/>
        </w:rPr>
        <w:fldChar w:fldCharType="end"/>
      </w:r>
    </w:p>
    <w:p w:rsidR="00CD207C" w:rsidRPr="007F3363" w:rsidRDefault="00CD207C" w:rsidP="00CD207C">
      <w:pPr>
        <w:pStyle w:val="Sumrio3"/>
        <w:tabs>
          <w:tab w:val="right" w:leader="dot" w:pos="10054"/>
        </w:tabs>
        <w:rPr>
          <w:noProof/>
          <w:lang w:eastAsia="en-US"/>
        </w:rPr>
      </w:pPr>
      <w:r w:rsidRPr="007F3363">
        <w:rPr>
          <w:noProof/>
          <w:lang w:eastAsia="en-US"/>
        </w:rPr>
        <w:t>Empréstimos de Títulos e Valores Mobiliários</w:t>
      </w:r>
      <w:r w:rsidRPr="007F3363">
        <w:rPr>
          <w:noProof/>
        </w:rPr>
        <w:tab/>
      </w:r>
      <w:r w:rsidR="004E608A" w:rsidRPr="007F3363">
        <w:rPr>
          <w:noProof/>
        </w:rPr>
        <w:fldChar w:fldCharType="begin"/>
      </w:r>
      <w:r w:rsidRPr="007F3363">
        <w:rPr>
          <w:noProof/>
        </w:rPr>
        <w:instrText xml:space="preserve"> PAGEREF _Toc494961917 \h </w:instrText>
      </w:r>
      <w:r w:rsidR="004E608A" w:rsidRPr="007F3363">
        <w:rPr>
          <w:noProof/>
        </w:rPr>
      </w:r>
      <w:r w:rsidR="004E608A" w:rsidRPr="007F3363">
        <w:rPr>
          <w:noProof/>
        </w:rPr>
        <w:fldChar w:fldCharType="separate"/>
      </w:r>
      <w:r w:rsidR="00AD7C16">
        <w:rPr>
          <w:noProof/>
        </w:rPr>
        <w:t>16</w:t>
      </w:r>
      <w:r w:rsidR="004E608A" w:rsidRPr="007F3363">
        <w:rPr>
          <w:noProof/>
        </w:rPr>
        <w:fldChar w:fldCharType="end"/>
      </w:r>
    </w:p>
    <w:p w:rsidR="00CD207C" w:rsidRPr="007F3363" w:rsidRDefault="00CD207C" w:rsidP="00CD207C">
      <w:pPr>
        <w:pStyle w:val="Sumrio3"/>
        <w:tabs>
          <w:tab w:val="right" w:leader="dot" w:pos="10054"/>
        </w:tabs>
        <w:rPr>
          <w:noProof/>
          <w:lang w:eastAsia="en-US"/>
        </w:rPr>
      </w:pPr>
      <w:r w:rsidRPr="007F3363">
        <w:rPr>
          <w:noProof/>
          <w:lang w:eastAsia="en-US"/>
        </w:rPr>
        <w:t>Aplicações em Bancos Públicos</w:t>
      </w:r>
      <w:r w:rsidRPr="007F3363">
        <w:rPr>
          <w:noProof/>
        </w:rPr>
        <w:tab/>
      </w:r>
      <w:r w:rsidR="004E608A" w:rsidRPr="007F3363">
        <w:rPr>
          <w:noProof/>
        </w:rPr>
        <w:fldChar w:fldCharType="begin"/>
      </w:r>
      <w:r w:rsidRPr="007F3363">
        <w:rPr>
          <w:noProof/>
        </w:rPr>
        <w:instrText xml:space="preserve"> PAGEREF _Toc494961918 \h </w:instrText>
      </w:r>
      <w:r w:rsidR="004E608A" w:rsidRPr="007F3363">
        <w:rPr>
          <w:noProof/>
        </w:rPr>
      </w:r>
      <w:r w:rsidR="004E608A" w:rsidRPr="007F3363">
        <w:rPr>
          <w:noProof/>
        </w:rPr>
        <w:fldChar w:fldCharType="separate"/>
      </w:r>
      <w:r w:rsidR="00AD7C16">
        <w:rPr>
          <w:noProof/>
        </w:rPr>
        <w:t>16</w:t>
      </w:r>
      <w:r w:rsidR="004E608A" w:rsidRPr="007F3363">
        <w:rPr>
          <w:noProof/>
        </w:rPr>
        <w:fldChar w:fldCharType="end"/>
      </w:r>
    </w:p>
    <w:p w:rsidR="00CD207C" w:rsidRPr="007F3363" w:rsidRDefault="00CD207C" w:rsidP="00CD207C">
      <w:pPr>
        <w:pStyle w:val="Sumrio1"/>
        <w:tabs>
          <w:tab w:val="right" w:leader="dot" w:pos="10054"/>
        </w:tabs>
        <w:rPr>
          <w:b w:val="0"/>
          <w:noProof/>
          <w:sz w:val="22"/>
          <w:szCs w:val="22"/>
          <w:lang w:eastAsia="en-US"/>
        </w:rPr>
      </w:pPr>
      <w:r w:rsidRPr="007F3363">
        <w:rPr>
          <w:noProof/>
          <w:lang w:eastAsia="en-US"/>
        </w:rPr>
        <w:t>Precificação e Marcação de Ativos</w:t>
      </w:r>
      <w:r w:rsidRPr="007F3363">
        <w:rPr>
          <w:noProof/>
        </w:rPr>
        <w:tab/>
      </w:r>
      <w:r w:rsidR="004E608A" w:rsidRPr="007F3363">
        <w:rPr>
          <w:noProof/>
        </w:rPr>
        <w:fldChar w:fldCharType="begin"/>
      </w:r>
      <w:r w:rsidRPr="007F3363">
        <w:rPr>
          <w:noProof/>
        </w:rPr>
        <w:instrText xml:space="preserve"> PAGEREF _Toc494961919 \h </w:instrText>
      </w:r>
      <w:r w:rsidR="004E608A" w:rsidRPr="007F3363">
        <w:rPr>
          <w:noProof/>
        </w:rPr>
      </w:r>
      <w:r w:rsidR="004E608A" w:rsidRPr="007F3363">
        <w:rPr>
          <w:noProof/>
        </w:rPr>
        <w:fldChar w:fldCharType="separate"/>
      </w:r>
      <w:r w:rsidR="00AD7C16">
        <w:rPr>
          <w:noProof/>
        </w:rPr>
        <w:t>17</w:t>
      </w:r>
      <w:r w:rsidR="004E608A" w:rsidRPr="007F3363">
        <w:rPr>
          <w:noProof/>
        </w:rPr>
        <w:fldChar w:fldCharType="end"/>
      </w:r>
    </w:p>
    <w:p w:rsidR="00CD207C" w:rsidRPr="007F3363" w:rsidRDefault="00CD207C" w:rsidP="00CD207C">
      <w:pPr>
        <w:pStyle w:val="Sumrio1"/>
        <w:tabs>
          <w:tab w:val="right" w:leader="dot" w:pos="10054"/>
        </w:tabs>
        <w:rPr>
          <w:b w:val="0"/>
          <w:noProof/>
          <w:sz w:val="22"/>
          <w:szCs w:val="22"/>
          <w:lang w:eastAsia="en-US"/>
        </w:rPr>
      </w:pPr>
      <w:r w:rsidRPr="007F3363">
        <w:rPr>
          <w:noProof/>
          <w:lang w:eastAsia="en-US"/>
        </w:rPr>
        <w:t>Controle e Gerenciamento de Riscos</w:t>
      </w:r>
      <w:r w:rsidRPr="007F3363">
        <w:rPr>
          <w:noProof/>
        </w:rPr>
        <w:tab/>
      </w:r>
      <w:r w:rsidR="004E608A" w:rsidRPr="007F3363">
        <w:rPr>
          <w:noProof/>
        </w:rPr>
        <w:fldChar w:fldCharType="begin"/>
      </w:r>
      <w:r w:rsidRPr="007F3363">
        <w:rPr>
          <w:noProof/>
        </w:rPr>
        <w:instrText xml:space="preserve"> PAGEREF _Toc494961920 \h </w:instrText>
      </w:r>
      <w:r w:rsidR="004E608A" w:rsidRPr="007F3363">
        <w:rPr>
          <w:noProof/>
        </w:rPr>
      </w:r>
      <w:r w:rsidR="004E608A" w:rsidRPr="007F3363">
        <w:rPr>
          <w:noProof/>
        </w:rPr>
        <w:fldChar w:fldCharType="separate"/>
      </w:r>
      <w:r w:rsidR="00AD7C16">
        <w:rPr>
          <w:noProof/>
        </w:rPr>
        <w:t>17</w:t>
      </w:r>
      <w:r w:rsidR="004E608A" w:rsidRPr="007F3363">
        <w:rPr>
          <w:noProof/>
        </w:rPr>
        <w:fldChar w:fldCharType="end"/>
      </w:r>
    </w:p>
    <w:p w:rsidR="00CD207C" w:rsidRPr="007F3363" w:rsidRDefault="00CD207C" w:rsidP="00CD207C">
      <w:pPr>
        <w:pStyle w:val="Sumrio2"/>
        <w:tabs>
          <w:tab w:val="right" w:leader="dot" w:pos="10054"/>
        </w:tabs>
        <w:rPr>
          <w:b w:val="0"/>
          <w:noProof/>
          <w:lang w:eastAsia="en-US"/>
        </w:rPr>
      </w:pPr>
      <w:r w:rsidRPr="007F3363">
        <w:rPr>
          <w:noProof/>
          <w:lang w:eastAsia="en-US"/>
        </w:rPr>
        <w:t>Risco de Mercado</w:t>
      </w:r>
      <w:r w:rsidRPr="007F3363">
        <w:rPr>
          <w:noProof/>
        </w:rPr>
        <w:tab/>
      </w:r>
      <w:r w:rsidR="004E608A" w:rsidRPr="007F3363">
        <w:rPr>
          <w:noProof/>
        </w:rPr>
        <w:fldChar w:fldCharType="begin"/>
      </w:r>
      <w:r w:rsidRPr="007F3363">
        <w:rPr>
          <w:noProof/>
        </w:rPr>
        <w:instrText xml:space="preserve"> PAGEREF _Toc494961921 \h </w:instrText>
      </w:r>
      <w:r w:rsidR="004E608A" w:rsidRPr="007F3363">
        <w:rPr>
          <w:noProof/>
        </w:rPr>
      </w:r>
      <w:r w:rsidR="004E608A" w:rsidRPr="007F3363">
        <w:rPr>
          <w:noProof/>
        </w:rPr>
        <w:fldChar w:fldCharType="separate"/>
      </w:r>
      <w:r w:rsidR="00AD7C16">
        <w:rPr>
          <w:noProof/>
        </w:rPr>
        <w:t>17</w:t>
      </w:r>
      <w:r w:rsidR="004E608A" w:rsidRPr="007F3363">
        <w:rPr>
          <w:noProof/>
        </w:rPr>
        <w:fldChar w:fldCharType="end"/>
      </w:r>
    </w:p>
    <w:p w:rsidR="00CD207C" w:rsidRPr="007F3363" w:rsidRDefault="00CD207C" w:rsidP="00CD207C">
      <w:pPr>
        <w:pStyle w:val="Sumrio2"/>
        <w:tabs>
          <w:tab w:val="right" w:leader="dot" w:pos="10054"/>
        </w:tabs>
        <w:rPr>
          <w:b w:val="0"/>
          <w:noProof/>
          <w:lang w:eastAsia="en-US"/>
        </w:rPr>
      </w:pPr>
      <w:r w:rsidRPr="007F3363">
        <w:rPr>
          <w:noProof/>
          <w:lang w:eastAsia="en-US"/>
        </w:rPr>
        <w:t>Risco de Crédito</w:t>
      </w:r>
      <w:r w:rsidRPr="007F3363">
        <w:rPr>
          <w:noProof/>
        </w:rPr>
        <w:tab/>
      </w:r>
      <w:r w:rsidR="004E608A" w:rsidRPr="007F3363">
        <w:rPr>
          <w:noProof/>
        </w:rPr>
        <w:fldChar w:fldCharType="begin"/>
      </w:r>
      <w:r w:rsidRPr="007F3363">
        <w:rPr>
          <w:noProof/>
        </w:rPr>
        <w:instrText xml:space="preserve"> PAGEREF _Toc494961922 \h </w:instrText>
      </w:r>
      <w:r w:rsidR="004E608A" w:rsidRPr="007F3363">
        <w:rPr>
          <w:noProof/>
        </w:rPr>
      </w:r>
      <w:r w:rsidR="004E608A" w:rsidRPr="007F3363">
        <w:rPr>
          <w:noProof/>
        </w:rPr>
        <w:fldChar w:fldCharType="separate"/>
      </w:r>
      <w:r w:rsidR="00AD7C16">
        <w:rPr>
          <w:noProof/>
        </w:rPr>
        <w:t>17</w:t>
      </w:r>
      <w:r w:rsidR="004E608A" w:rsidRPr="007F3363">
        <w:rPr>
          <w:noProof/>
        </w:rPr>
        <w:fldChar w:fldCharType="end"/>
      </w:r>
    </w:p>
    <w:p w:rsidR="00CD207C" w:rsidRPr="007F3363" w:rsidRDefault="00CD207C" w:rsidP="00CD207C">
      <w:pPr>
        <w:pStyle w:val="Sumrio2"/>
        <w:tabs>
          <w:tab w:val="right" w:leader="dot" w:pos="10054"/>
        </w:tabs>
        <w:rPr>
          <w:b w:val="0"/>
          <w:noProof/>
          <w:lang w:eastAsia="en-US"/>
        </w:rPr>
      </w:pPr>
      <w:r w:rsidRPr="007F3363">
        <w:rPr>
          <w:noProof/>
          <w:lang w:eastAsia="en-US"/>
        </w:rPr>
        <w:t>Risco de Liquidez</w:t>
      </w:r>
      <w:r w:rsidRPr="007F3363">
        <w:rPr>
          <w:noProof/>
        </w:rPr>
        <w:tab/>
      </w:r>
      <w:r w:rsidR="004E608A" w:rsidRPr="007F3363">
        <w:rPr>
          <w:noProof/>
        </w:rPr>
        <w:fldChar w:fldCharType="begin"/>
      </w:r>
      <w:r w:rsidRPr="007F3363">
        <w:rPr>
          <w:noProof/>
        </w:rPr>
        <w:instrText xml:space="preserve"> PAGEREF _Toc494961923 \h </w:instrText>
      </w:r>
      <w:r w:rsidR="004E608A" w:rsidRPr="007F3363">
        <w:rPr>
          <w:noProof/>
        </w:rPr>
      </w:r>
      <w:r w:rsidR="004E608A" w:rsidRPr="007F3363">
        <w:rPr>
          <w:noProof/>
        </w:rPr>
        <w:fldChar w:fldCharType="separate"/>
      </w:r>
      <w:r w:rsidR="00AD7C16">
        <w:rPr>
          <w:noProof/>
        </w:rPr>
        <w:t>19</w:t>
      </w:r>
      <w:r w:rsidR="004E608A" w:rsidRPr="007F3363">
        <w:rPr>
          <w:noProof/>
        </w:rPr>
        <w:fldChar w:fldCharType="end"/>
      </w:r>
    </w:p>
    <w:p w:rsidR="00CD207C" w:rsidRPr="007F3363" w:rsidRDefault="00CD207C" w:rsidP="00CD207C">
      <w:pPr>
        <w:pStyle w:val="Sumrio1"/>
        <w:tabs>
          <w:tab w:val="right" w:leader="dot" w:pos="10054"/>
        </w:tabs>
        <w:rPr>
          <w:b w:val="0"/>
          <w:noProof/>
          <w:sz w:val="22"/>
          <w:szCs w:val="22"/>
          <w:lang w:eastAsia="en-US"/>
        </w:rPr>
      </w:pPr>
      <w:r w:rsidRPr="007F3363">
        <w:rPr>
          <w:noProof/>
        </w:rPr>
        <w:t>Avaliação do Cenário Macroeconômico, Financeiro e Perspectivas de Investimentos</w:t>
      </w:r>
      <w:r w:rsidRPr="007F3363">
        <w:rPr>
          <w:noProof/>
        </w:rPr>
        <w:tab/>
      </w:r>
      <w:r w:rsidR="004E608A" w:rsidRPr="007F3363">
        <w:rPr>
          <w:noProof/>
        </w:rPr>
        <w:fldChar w:fldCharType="begin"/>
      </w:r>
      <w:r w:rsidRPr="007F3363">
        <w:rPr>
          <w:noProof/>
        </w:rPr>
        <w:instrText xml:space="preserve"> PAGEREF _Toc494961924 \h </w:instrText>
      </w:r>
      <w:r w:rsidR="004E608A" w:rsidRPr="007F3363">
        <w:rPr>
          <w:noProof/>
        </w:rPr>
      </w:r>
      <w:r w:rsidR="004E608A" w:rsidRPr="007F3363">
        <w:rPr>
          <w:noProof/>
        </w:rPr>
        <w:fldChar w:fldCharType="separate"/>
      </w:r>
      <w:r w:rsidR="00AD7C16">
        <w:rPr>
          <w:noProof/>
        </w:rPr>
        <w:t>19</w:t>
      </w:r>
      <w:r w:rsidR="004E608A" w:rsidRPr="007F3363">
        <w:rPr>
          <w:noProof/>
        </w:rPr>
        <w:fldChar w:fldCharType="end"/>
      </w:r>
    </w:p>
    <w:p w:rsidR="00CD207C" w:rsidRPr="007F3363" w:rsidRDefault="00CD207C" w:rsidP="00CD207C">
      <w:pPr>
        <w:pStyle w:val="Sumrio2"/>
        <w:tabs>
          <w:tab w:val="right" w:leader="dot" w:pos="10054"/>
        </w:tabs>
        <w:rPr>
          <w:b w:val="0"/>
          <w:noProof/>
          <w:lang w:eastAsia="en-US"/>
        </w:rPr>
      </w:pPr>
      <w:r w:rsidRPr="007F3363">
        <w:rPr>
          <w:noProof/>
        </w:rPr>
        <w:t>Aspectos Globais</w:t>
      </w:r>
      <w:r w:rsidRPr="007F3363">
        <w:rPr>
          <w:noProof/>
        </w:rPr>
        <w:tab/>
      </w:r>
      <w:r w:rsidR="004E608A" w:rsidRPr="007F3363">
        <w:rPr>
          <w:noProof/>
        </w:rPr>
        <w:fldChar w:fldCharType="begin"/>
      </w:r>
      <w:r w:rsidRPr="007F3363">
        <w:rPr>
          <w:noProof/>
        </w:rPr>
        <w:instrText xml:space="preserve"> PAGEREF _Toc494961925 \h </w:instrText>
      </w:r>
      <w:r w:rsidR="004E608A" w:rsidRPr="007F3363">
        <w:rPr>
          <w:noProof/>
        </w:rPr>
      </w:r>
      <w:r w:rsidR="004E608A" w:rsidRPr="007F3363">
        <w:rPr>
          <w:noProof/>
        </w:rPr>
        <w:fldChar w:fldCharType="separate"/>
      </w:r>
      <w:r w:rsidR="00AD7C16">
        <w:rPr>
          <w:noProof/>
        </w:rPr>
        <w:t>19</w:t>
      </w:r>
      <w:r w:rsidR="004E608A" w:rsidRPr="007F3363">
        <w:rPr>
          <w:noProof/>
        </w:rPr>
        <w:fldChar w:fldCharType="end"/>
      </w:r>
    </w:p>
    <w:p w:rsidR="00CD207C" w:rsidRPr="007F3363" w:rsidRDefault="00CD207C" w:rsidP="00CD207C">
      <w:pPr>
        <w:pStyle w:val="Sumrio3"/>
        <w:tabs>
          <w:tab w:val="right" w:leader="dot" w:pos="10054"/>
        </w:tabs>
        <w:rPr>
          <w:noProof/>
          <w:lang w:eastAsia="en-US"/>
        </w:rPr>
      </w:pPr>
      <w:r w:rsidRPr="007F3363">
        <w:rPr>
          <w:noProof/>
          <w:lang w:eastAsia="en-US"/>
        </w:rPr>
        <w:t>Emergentes</w:t>
      </w:r>
      <w:r w:rsidRPr="007F3363">
        <w:rPr>
          <w:noProof/>
        </w:rPr>
        <w:tab/>
      </w:r>
      <w:r w:rsidR="004E608A" w:rsidRPr="007F3363">
        <w:rPr>
          <w:noProof/>
        </w:rPr>
        <w:fldChar w:fldCharType="begin"/>
      </w:r>
      <w:r w:rsidRPr="007F3363">
        <w:rPr>
          <w:noProof/>
        </w:rPr>
        <w:instrText xml:space="preserve"> PAGEREF _Toc494961926 \h </w:instrText>
      </w:r>
      <w:r w:rsidR="004E608A" w:rsidRPr="007F3363">
        <w:rPr>
          <w:noProof/>
        </w:rPr>
      </w:r>
      <w:r w:rsidR="004E608A" w:rsidRPr="007F3363">
        <w:rPr>
          <w:noProof/>
        </w:rPr>
        <w:fldChar w:fldCharType="separate"/>
      </w:r>
      <w:r w:rsidR="00AD7C16">
        <w:rPr>
          <w:noProof/>
        </w:rPr>
        <w:t>22</w:t>
      </w:r>
      <w:r w:rsidR="004E608A" w:rsidRPr="007F3363">
        <w:rPr>
          <w:noProof/>
        </w:rPr>
        <w:fldChar w:fldCharType="end"/>
      </w:r>
    </w:p>
    <w:p w:rsidR="00CD207C" w:rsidRPr="007F3363" w:rsidRDefault="00CD207C" w:rsidP="00CD207C">
      <w:pPr>
        <w:pStyle w:val="Sumrio2"/>
        <w:tabs>
          <w:tab w:val="right" w:leader="dot" w:pos="10054"/>
        </w:tabs>
        <w:rPr>
          <w:b w:val="0"/>
          <w:noProof/>
          <w:lang w:eastAsia="en-US"/>
        </w:rPr>
      </w:pPr>
      <w:r w:rsidRPr="007F3363">
        <w:rPr>
          <w:noProof/>
          <w:lang w:eastAsia="en-US"/>
        </w:rPr>
        <w:t>Tendências para o Brasil</w:t>
      </w:r>
      <w:r w:rsidRPr="007F3363">
        <w:rPr>
          <w:noProof/>
        </w:rPr>
        <w:tab/>
      </w:r>
      <w:r w:rsidR="004E608A" w:rsidRPr="007F3363">
        <w:rPr>
          <w:noProof/>
        </w:rPr>
        <w:fldChar w:fldCharType="begin"/>
      </w:r>
      <w:r w:rsidRPr="007F3363">
        <w:rPr>
          <w:noProof/>
        </w:rPr>
        <w:instrText xml:space="preserve"> PAGEREF _Toc494961927 \h </w:instrText>
      </w:r>
      <w:r w:rsidR="004E608A" w:rsidRPr="007F3363">
        <w:rPr>
          <w:noProof/>
        </w:rPr>
      </w:r>
      <w:r w:rsidR="004E608A" w:rsidRPr="007F3363">
        <w:rPr>
          <w:noProof/>
        </w:rPr>
        <w:fldChar w:fldCharType="separate"/>
      </w:r>
      <w:r w:rsidR="00AD7C16">
        <w:rPr>
          <w:noProof/>
        </w:rPr>
        <w:t>23</w:t>
      </w:r>
      <w:r w:rsidR="004E608A" w:rsidRPr="007F3363">
        <w:rPr>
          <w:noProof/>
        </w:rPr>
        <w:fldChar w:fldCharType="end"/>
      </w:r>
    </w:p>
    <w:p w:rsidR="00CD207C" w:rsidRPr="007F3363" w:rsidRDefault="00CD207C" w:rsidP="00CD207C">
      <w:pPr>
        <w:pStyle w:val="Sumrio1"/>
        <w:tabs>
          <w:tab w:val="right" w:leader="dot" w:pos="10054"/>
        </w:tabs>
        <w:rPr>
          <w:b w:val="0"/>
          <w:noProof/>
          <w:sz w:val="22"/>
          <w:szCs w:val="22"/>
          <w:lang w:eastAsia="en-US"/>
        </w:rPr>
      </w:pPr>
      <w:r w:rsidRPr="007F3363">
        <w:rPr>
          <w:noProof/>
          <w:lang w:eastAsia="en-US"/>
        </w:rPr>
        <w:lastRenderedPageBreak/>
        <w:t>Justificativa do Cenário Prospectivo da Taxa de Juro</w:t>
      </w:r>
      <w:r w:rsidRPr="007F3363">
        <w:rPr>
          <w:noProof/>
        </w:rPr>
        <w:tab/>
      </w:r>
      <w:r w:rsidR="004E608A" w:rsidRPr="007F3363">
        <w:rPr>
          <w:noProof/>
        </w:rPr>
        <w:fldChar w:fldCharType="begin"/>
      </w:r>
      <w:r w:rsidRPr="007F3363">
        <w:rPr>
          <w:noProof/>
        </w:rPr>
        <w:instrText xml:space="preserve"> PAGEREF _Toc494961928 \h </w:instrText>
      </w:r>
      <w:r w:rsidR="004E608A" w:rsidRPr="007F3363">
        <w:rPr>
          <w:noProof/>
        </w:rPr>
      </w:r>
      <w:r w:rsidR="004E608A" w:rsidRPr="007F3363">
        <w:rPr>
          <w:noProof/>
        </w:rPr>
        <w:fldChar w:fldCharType="separate"/>
      </w:r>
      <w:r w:rsidR="00AD7C16">
        <w:rPr>
          <w:noProof/>
        </w:rPr>
        <w:t>26</w:t>
      </w:r>
      <w:r w:rsidR="004E608A" w:rsidRPr="007F3363">
        <w:rPr>
          <w:noProof/>
        </w:rPr>
        <w:fldChar w:fldCharType="end"/>
      </w:r>
    </w:p>
    <w:p w:rsidR="00CD207C" w:rsidRPr="007F3363" w:rsidRDefault="00CD207C" w:rsidP="00CD207C">
      <w:pPr>
        <w:pStyle w:val="Sumrio1"/>
        <w:tabs>
          <w:tab w:val="right" w:leader="dot" w:pos="10054"/>
        </w:tabs>
        <w:rPr>
          <w:b w:val="0"/>
          <w:noProof/>
          <w:sz w:val="22"/>
          <w:szCs w:val="22"/>
          <w:lang w:eastAsia="en-US"/>
        </w:rPr>
      </w:pPr>
      <w:r w:rsidRPr="007F3363">
        <w:rPr>
          <w:noProof/>
          <w:lang w:eastAsia="en-US"/>
        </w:rPr>
        <w:t>Metodologia para Alocação Estratégica</w:t>
      </w:r>
      <w:r w:rsidRPr="007F3363">
        <w:rPr>
          <w:noProof/>
        </w:rPr>
        <w:tab/>
      </w:r>
      <w:r w:rsidR="004E608A" w:rsidRPr="007F3363">
        <w:rPr>
          <w:noProof/>
        </w:rPr>
        <w:fldChar w:fldCharType="begin"/>
      </w:r>
      <w:r w:rsidRPr="007F3363">
        <w:rPr>
          <w:noProof/>
        </w:rPr>
        <w:instrText xml:space="preserve"> PAGEREF _Toc494961929 \h </w:instrText>
      </w:r>
      <w:r w:rsidR="004E608A" w:rsidRPr="007F3363">
        <w:rPr>
          <w:noProof/>
        </w:rPr>
      </w:r>
      <w:r w:rsidR="004E608A" w:rsidRPr="007F3363">
        <w:rPr>
          <w:noProof/>
        </w:rPr>
        <w:fldChar w:fldCharType="separate"/>
      </w:r>
      <w:r w:rsidR="00AD7C16">
        <w:rPr>
          <w:noProof/>
        </w:rPr>
        <w:t>26</w:t>
      </w:r>
      <w:r w:rsidR="004E608A" w:rsidRPr="007F3363">
        <w:rPr>
          <w:noProof/>
        </w:rPr>
        <w:fldChar w:fldCharType="end"/>
      </w:r>
    </w:p>
    <w:p w:rsidR="00CD207C" w:rsidRPr="007F3363" w:rsidRDefault="00CD207C" w:rsidP="00CD207C">
      <w:pPr>
        <w:pStyle w:val="Sumrio2"/>
        <w:tabs>
          <w:tab w:val="right" w:leader="dot" w:pos="10054"/>
        </w:tabs>
        <w:rPr>
          <w:b w:val="0"/>
          <w:noProof/>
          <w:lang w:eastAsia="en-US"/>
        </w:rPr>
      </w:pPr>
      <w:r w:rsidRPr="007F3363">
        <w:rPr>
          <w:noProof/>
        </w:rPr>
        <w:t>Realocação de Recursos</w:t>
      </w:r>
      <w:r w:rsidRPr="007F3363">
        <w:rPr>
          <w:noProof/>
        </w:rPr>
        <w:tab/>
      </w:r>
      <w:r w:rsidR="004E608A" w:rsidRPr="007F3363">
        <w:rPr>
          <w:noProof/>
        </w:rPr>
        <w:fldChar w:fldCharType="begin"/>
      </w:r>
      <w:r w:rsidRPr="007F3363">
        <w:rPr>
          <w:noProof/>
        </w:rPr>
        <w:instrText xml:space="preserve"> PAGEREF _Toc494961930 \h </w:instrText>
      </w:r>
      <w:r w:rsidR="004E608A" w:rsidRPr="007F3363">
        <w:rPr>
          <w:noProof/>
        </w:rPr>
      </w:r>
      <w:r w:rsidR="004E608A" w:rsidRPr="007F3363">
        <w:rPr>
          <w:noProof/>
        </w:rPr>
        <w:fldChar w:fldCharType="separate"/>
      </w:r>
      <w:r w:rsidR="00AD7C16">
        <w:rPr>
          <w:noProof/>
        </w:rPr>
        <w:t>27</w:t>
      </w:r>
      <w:r w:rsidR="004E608A" w:rsidRPr="007F3363">
        <w:rPr>
          <w:noProof/>
        </w:rPr>
        <w:fldChar w:fldCharType="end"/>
      </w:r>
    </w:p>
    <w:p w:rsidR="00CD207C" w:rsidRPr="007F3363" w:rsidRDefault="00CD207C" w:rsidP="00CD207C">
      <w:pPr>
        <w:pStyle w:val="Sumrio2"/>
        <w:tabs>
          <w:tab w:val="right" w:leader="dot" w:pos="10054"/>
        </w:tabs>
        <w:rPr>
          <w:b w:val="0"/>
          <w:noProof/>
          <w:lang w:eastAsia="en-US"/>
        </w:rPr>
      </w:pPr>
      <w:r w:rsidRPr="007F3363">
        <w:rPr>
          <w:noProof/>
        </w:rPr>
        <w:t>Alocação Objetivo</w:t>
      </w:r>
      <w:r w:rsidRPr="007F3363">
        <w:rPr>
          <w:noProof/>
        </w:rPr>
        <w:tab/>
      </w:r>
      <w:r w:rsidR="004E608A" w:rsidRPr="007F3363">
        <w:rPr>
          <w:noProof/>
        </w:rPr>
        <w:fldChar w:fldCharType="begin"/>
      </w:r>
      <w:r w:rsidRPr="007F3363">
        <w:rPr>
          <w:noProof/>
        </w:rPr>
        <w:instrText xml:space="preserve"> PAGEREF _Toc494961931 \h </w:instrText>
      </w:r>
      <w:r w:rsidR="004E608A" w:rsidRPr="007F3363">
        <w:rPr>
          <w:noProof/>
        </w:rPr>
      </w:r>
      <w:r w:rsidR="004E608A" w:rsidRPr="007F3363">
        <w:rPr>
          <w:noProof/>
        </w:rPr>
        <w:fldChar w:fldCharType="separate"/>
      </w:r>
      <w:r w:rsidR="00AD7C16">
        <w:rPr>
          <w:noProof/>
        </w:rPr>
        <w:t>27</w:t>
      </w:r>
      <w:r w:rsidR="004E608A" w:rsidRPr="007F3363">
        <w:rPr>
          <w:noProof/>
        </w:rPr>
        <w:fldChar w:fldCharType="end"/>
      </w:r>
    </w:p>
    <w:p w:rsidR="00CD207C" w:rsidRPr="007F3363" w:rsidRDefault="00CD207C" w:rsidP="00CD207C">
      <w:pPr>
        <w:pStyle w:val="Sumrio2"/>
        <w:tabs>
          <w:tab w:val="right" w:leader="dot" w:pos="10054"/>
        </w:tabs>
        <w:rPr>
          <w:b w:val="0"/>
          <w:noProof/>
          <w:lang w:eastAsia="en-US"/>
        </w:rPr>
      </w:pPr>
      <w:r w:rsidRPr="007F3363">
        <w:rPr>
          <w:noProof/>
        </w:rPr>
        <w:t>Acompanhamento dos Resultados</w:t>
      </w:r>
      <w:r w:rsidRPr="007F3363">
        <w:rPr>
          <w:noProof/>
        </w:rPr>
        <w:tab/>
      </w:r>
      <w:r w:rsidR="004E608A" w:rsidRPr="007F3363">
        <w:rPr>
          <w:noProof/>
        </w:rPr>
        <w:fldChar w:fldCharType="begin"/>
      </w:r>
      <w:r w:rsidRPr="007F3363">
        <w:rPr>
          <w:noProof/>
        </w:rPr>
        <w:instrText xml:space="preserve"> PAGEREF _Toc494961932 \h </w:instrText>
      </w:r>
      <w:r w:rsidR="004E608A" w:rsidRPr="007F3363">
        <w:rPr>
          <w:noProof/>
        </w:rPr>
      </w:r>
      <w:r w:rsidR="004E608A" w:rsidRPr="007F3363">
        <w:rPr>
          <w:noProof/>
        </w:rPr>
        <w:fldChar w:fldCharType="separate"/>
      </w:r>
      <w:r w:rsidR="00AD7C16">
        <w:rPr>
          <w:noProof/>
        </w:rPr>
        <w:t>27</w:t>
      </w:r>
      <w:r w:rsidR="004E608A" w:rsidRPr="007F3363">
        <w:rPr>
          <w:noProof/>
        </w:rPr>
        <w:fldChar w:fldCharType="end"/>
      </w:r>
    </w:p>
    <w:p w:rsidR="00CD207C" w:rsidRPr="007F3363" w:rsidRDefault="00CD207C" w:rsidP="00CD207C">
      <w:pPr>
        <w:pStyle w:val="Sumrio1"/>
        <w:tabs>
          <w:tab w:val="right" w:leader="dot" w:pos="10054"/>
        </w:tabs>
        <w:rPr>
          <w:b w:val="0"/>
          <w:noProof/>
          <w:sz w:val="22"/>
          <w:szCs w:val="22"/>
          <w:lang w:eastAsia="en-US"/>
        </w:rPr>
      </w:pPr>
      <w:r w:rsidRPr="007F3363">
        <w:rPr>
          <w:noProof/>
          <w:lang w:eastAsia="en-US"/>
        </w:rPr>
        <w:t>Validade</w:t>
      </w:r>
      <w:r w:rsidRPr="007F3363">
        <w:rPr>
          <w:noProof/>
        </w:rPr>
        <w:tab/>
      </w:r>
      <w:r w:rsidR="004E608A" w:rsidRPr="007F3363">
        <w:rPr>
          <w:noProof/>
        </w:rPr>
        <w:fldChar w:fldCharType="begin"/>
      </w:r>
      <w:r w:rsidRPr="007F3363">
        <w:rPr>
          <w:noProof/>
        </w:rPr>
        <w:instrText xml:space="preserve"> PAGEREF _Toc494961933 \h </w:instrText>
      </w:r>
      <w:r w:rsidR="004E608A" w:rsidRPr="007F3363">
        <w:rPr>
          <w:noProof/>
        </w:rPr>
      </w:r>
      <w:r w:rsidR="004E608A" w:rsidRPr="007F3363">
        <w:rPr>
          <w:noProof/>
        </w:rPr>
        <w:fldChar w:fldCharType="separate"/>
      </w:r>
      <w:r w:rsidR="00AD7C16">
        <w:rPr>
          <w:noProof/>
        </w:rPr>
        <w:t>35</w:t>
      </w:r>
      <w:r w:rsidR="004E608A" w:rsidRPr="007F3363">
        <w:rPr>
          <w:noProof/>
        </w:rPr>
        <w:fldChar w:fldCharType="end"/>
      </w:r>
    </w:p>
    <w:p w:rsidR="00CD207C" w:rsidRPr="007F3363" w:rsidRDefault="00CD207C" w:rsidP="00CD207C">
      <w:pPr>
        <w:pStyle w:val="Sumrio1"/>
        <w:tabs>
          <w:tab w:val="right" w:leader="dot" w:pos="10054"/>
        </w:tabs>
        <w:rPr>
          <w:b w:val="0"/>
          <w:noProof/>
          <w:sz w:val="22"/>
          <w:szCs w:val="22"/>
          <w:lang w:eastAsia="en-US"/>
        </w:rPr>
      </w:pPr>
      <w:r w:rsidRPr="007F3363">
        <w:rPr>
          <w:noProof/>
        </w:rPr>
        <w:t>Divulgação da Política de Investimento</w:t>
      </w:r>
      <w:r w:rsidRPr="007F3363">
        <w:rPr>
          <w:noProof/>
        </w:rPr>
        <w:tab/>
      </w:r>
      <w:r w:rsidR="004E608A" w:rsidRPr="007F3363">
        <w:rPr>
          <w:noProof/>
        </w:rPr>
        <w:fldChar w:fldCharType="begin"/>
      </w:r>
      <w:r w:rsidRPr="007F3363">
        <w:rPr>
          <w:noProof/>
        </w:rPr>
        <w:instrText xml:space="preserve"> PAGEREF _Toc494961934 \h </w:instrText>
      </w:r>
      <w:r w:rsidR="004E608A" w:rsidRPr="007F3363">
        <w:rPr>
          <w:noProof/>
        </w:rPr>
      </w:r>
      <w:r w:rsidR="004E608A" w:rsidRPr="007F3363">
        <w:rPr>
          <w:noProof/>
        </w:rPr>
        <w:fldChar w:fldCharType="separate"/>
      </w:r>
      <w:r w:rsidR="00AD7C16">
        <w:rPr>
          <w:noProof/>
        </w:rPr>
        <w:t>36</w:t>
      </w:r>
      <w:r w:rsidR="004E608A" w:rsidRPr="007F3363">
        <w:rPr>
          <w:noProof/>
        </w:rPr>
        <w:fldChar w:fldCharType="end"/>
      </w:r>
    </w:p>
    <w:p w:rsidR="00CD207C" w:rsidRPr="007F3363" w:rsidRDefault="00CD207C" w:rsidP="00CD207C">
      <w:pPr>
        <w:pStyle w:val="Sumrio1"/>
        <w:tabs>
          <w:tab w:val="right" w:leader="dot" w:pos="10054"/>
        </w:tabs>
        <w:rPr>
          <w:b w:val="0"/>
          <w:noProof/>
          <w:sz w:val="22"/>
          <w:szCs w:val="22"/>
          <w:lang w:eastAsia="en-US"/>
        </w:rPr>
      </w:pPr>
      <w:r w:rsidRPr="007F3363">
        <w:rPr>
          <w:noProof/>
        </w:rPr>
        <w:t>Disposições Finais</w:t>
      </w:r>
      <w:r w:rsidRPr="007F3363">
        <w:rPr>
          <w:noProof/>
        </w:rPr>
        <w:tab/>
      </w:r>
      <w:r w:rsidR="004E608A" w:rsidRPr="007F3363">
        <w:rPr>
          <w:noProof/>
        </w:rPr>
        <w:fldChar w:fldCharType="begin"/>
      </w:r>
      <w:r w:rsidRPr="007F3363">
        <w:rPr>
          <w:noProof/>
        </w:rPr>
        <w:instrText xml:space="preserve"> PAGEREF _Toc494961935 \h </w:instrText>
      </w:r>
      <w:r w:rsidR="004E608A" w:rsidRPr="007F3363">
        <w:rPr>
          <w:noProof/>
        </w:rPr>
      </w:r>
      <w:r w:rsidR="004E608A" w:rsidRPr="007F3363">
        <w:rPr>
          <w:noProof/>
        </w:rPr>
        <w:fldChar w:fldCharType="separate"/>
      </w:r>
      <w:r w:rsidR="00AD7C16">
        <w:rPr>
          <w:noProof/>
        </w:rPr>
        <w:t>36</w:t>
      </w:r>
      <w:r w:rsidR="004E608A" w:rsidRPr="007F3363">
        <w:rPr>
          <w:noProof/>
        </w:rPr>
        <w:fldChar w:fldCharType="end"/>
      </w:r>
    </w:p>
    <w:p w:rsidR="00077265" w:rsidRPr="007F3363" w:rsidRDefault="004E608A" w:rsidP="00CD207C">
      <w:pPr>
        <w:rPr>
          <w:rFonts w:asciiTheme="minorHAnsi" w:hAnsiTheme="minorHAnsi"/>
          <w:b/>
        </w:rPr>
      </w:pPr>
      <w:r w:rsidRPr="007F3363">
        <w:rPr>
          <w:rFonts w:asciiTheme="minorHAnsi" w:hAnsiTheme="minorHAnsi"/>
          <w:b/>
        </w:rPr>
        <w:fldChar w:fldCharType="end"/>
      </w:r>
      <w:r w:rsidR="00077265" w:rsidRPr="007F3363">
        <w:rPr>
          <w:rFonts w:asciiTheme="minorHAnsi" w:hAnsiTheme="minorHAnsi"/>
        </w:rPr>
        <w:br w:type="page"/>
      </w:r>
    </w:p>
    <w:p w:rsidR="00355650" w:rsidRPr="007F3363" w:rsidRDefault="00355650" w:rsidP="00CD207C">
      <w:pPr>
        <w:pStyle w:val="Ttulo1"/>
        <w:rPr>
          <w:rFonts w:asciiTheme="minorHAnsi" w:hAnsiTheme="minorHAnsi" w:cs="DejaVu Sans"/>
          <w:sz w:val="24"/>
          <w:szCs w:val="24"/>
        </w:rPr>
      </w:pPr>
      <w:bookmarkStart w:id="1" w:name="_Toc494961894"/>
      <w:r w:rsidRPr="007F3363">
        <w:rPr>
          <w:rFonts w:asciiTheme="minorHAnsi" w:hAnsiTheme="minorHAnsi"/>
          <w:sz w:val="24"/>
          <w:szCs w:val="24"/>
        </w:rPr>
        <w:lastRenderedPageBreak/>
        <w:t>I</w:t>
      </w:r>
      <w:r w:rsidR="00A54F11" w:rsidRPr="007F3363">
        <w:rPr>
          <w:rFonts w:asciiTheme="minorHAnsi" w:hAnsiTheme="minorHAnsi"/>
          <w:sz w:val="24"/>
          <w:szCs w:val="24"/>
        </w:rPr>
        <w:t>ntrodução</w:t>
      </w:r>
      <w:bookmarkEnd w:id="1"/>
    </w:p>
    <w:p w:rsidR="00476836" w:rsidRPr="007F3363" w:rsidRDefault="00476836" w:rsidP="00CD207C">
      <w:pPr>
        <w:pStyle w:val="Default"/>
        <w:spacing w:line="360" w:lineRule="auto"/>
        <w:rPr>
          <w:rFonts w:asciiTheme="minorHAnsi" w:hAnsiTheme="minorHAnsi"/>
          <w:color w:val="auto"/>
          <w:lang w:val="pt-BR"/>
        </w:rPr>
      </w:pPr>
    </w:p>
    <w:p w:rsidR="00A51108" w:rsidRPr="007F3363" w:rsidRDefault="00476836" w:rsidP="00CD207C">
      <w:pPr>
        <w:ind w:firstLine="720"/>
        <w:rPr>
          <w:rFonts w:asciiTheme="minorHAnsi" w:hAnsiTheme="minorHAnsi"/>
        </w:rPr>
      </w:pPr>
      <w:r w:rsidRPr="007F3363">
        <w:rPr>
          <w:rFonts w:asciiTheme="minorHAnsi" w:hAnsiTheme="minorHAnsi"/>
          <w:lang w:eastAsia="en-US"/>
        </w:rPr>
        <w:t xml:space="preserve">Esta Política de Investimentos tem como objetivo servir </w:t>
      </w:r>
      <w:r w:rsidR="00F1532C" w:rsidRPr="007F3363">
        <w:rPr>
          <w:rFonts w:asciiTheme="minorHAnsi" w:hAnsiTheme="minorHAnsi"/>
          <w:lang w:eastAsia="en-US"/>
        </w:rPr>
        <w:t xml:space="preserve">de ferramenta </w:t>
      </w:r>
      <w:r w:rsidR="00CF27CE" w:rsidRPr="007F3363">
        <w:rPr>
          <w:rFonts w:asciiTheme="minorHAnsi" w:hAnsiTheme="minorHAnsi"/>
          <w:lang w:eastAsia="en-US"/>
        </w:rPr>
        <w:t>para o</w:t>
      </w:r>
      <w:r w:rsidR="00F1532C" w:rsidRPr="007F3363">
        <w:rPr>
          <w:rFonts w:asciiTheme="minorHAnsi" w:hAnsiTheme="minorHAnsi"/>
          <w:lang w:eastAsia="en-US"/>
        </w:rPr>
        <w:t xml:space="preserve"> planejamento </w:t>
      </w:r>
      <w:r w:rsidR="00A51108" w:rsidRPr="007F3363">
        <w:rPr>
          <w:rFonts w:asciiTheme="minorHAnsi" w:hAnsiTheme="minorHAnsi"/>
          <w:lang w:eastAsia="en-US"/>
        </w:rPr>
        <w:t xml:space="preserve">e aplicação de </w:t>
      </w:r>
      <w:r w:rsidR="00B26E95" w:rsidRPr="007F3363">
        <w:rPr>
          <w:rFonts w:asciiTheme="minorHAnsi" w:hAnsiTheme="minorHAnsi"/>
          <w:lang w:eastAsia="en-US"/>
        </w:rPr>
        <w:t>investimentos</w:t>
      </w:r>
      <w:r w:rsidR="00A51108" w:rsidRPr="007F3363">
        <w:rPr>
          <w:rFonts w:asciiTheme="minorHAnsi" w:hAnsiTheme="minorHAnsi"/>
          <w:lang w:eastAsia="en-US"/>
        </w:rPr>
        <w:t xml:space="preserve"> a ser seguida pelos membros responsáveis pela gestão e administração dos recursos provenientes do</w:t>
      </w:r>
      <w:r w:rsidR="00BA69EA" w:rsidRPr="007F3363">
        <w:rPr>
          <w:rFonts w:asciiTheme="minorHAnsi" w:hAnsiTheme="minorHAnsi"/>
          <w:lang w:eastAsia="en-US"/>
        </w:rPr>
        <w:t>s participantes e patrocinador</w:t>
      </w:r>
      <w:r w:rsidR="00A51108" w:rsidRPr="007F3363">
        <w:rPr>
          <w:rFonts w:asciiTheme="minorHAnsi" w:hAnsiTheme="minorHAnsi"/>
          <w:lang w:eastAsia="en-US"/>
        </w:rPr>
        <w:t xml:space="preserve"> do </w:t>
      </w:r>
      <w:r w:rsidR="00996CD1" w:rsidRPr="007F3363">
        <w:rPr>
          <w:rFonts w:asciiTheme="minorHAnsi" w:hAnsiTheme="minorHAnsi"/>
          <w:b/>
        </w:rPr>
        <w:t xml:space="preserve">RPPS de </w:t>
      </w:r>
      <w:r w:rsidR="0073786F" w:rsidRPr="007F3363">
        <w:rPr>
          <w:rFonts w:asciiTheme="minorHAnsi" w:hAnsiTheme="minorHAnsi"/>
          <w:b/>
        </w:rPr>
        <w:t>São Nicolau</w:t>
      </w:r>
      <w:r w:rsidR="00DE4938" w:rsidRPr="007F3363">
        <w:rPr>
          <w:rFonts w:asciiTheme="minorHAnsi" w:hAnsiTheme="minorHAnsi"/>
        </w:rPr>
        <w:t xml:space="preserve"> Recursos estes, conforme definido pela Resolução 3.922</w:t>
      </w:r>
      <w:r w:rsidR="00E85516" w:rsidRPr="007F3363">
        <w:rPr>
          <w:rFonts w:asciiTheme="minorHAnsi" w:hAnsiTheme="minorHAnsi" w:cs="Arial"/>
          <w:lang w:eastAsia="en-US"/>
        </w:rPr>
        <w:t xml:space="preserve">, </w:t>
      </w:r>
      <w:r w:rsidR="00E85516" w:rsidRPr="007F3363">
        <w:rPr>
          <w:rFonts w:asciiTheme="minorHAnsi" w:hAnsiTheme="minorHAnsi"/>
        </w:rPr>
        <w:t>de 25 de novembro de 2010, emanada do Conselho Monetário Nacional</w:t>
      </w:r>
      <w:r w:rsidR="00DE4938" w:rsidRPr="007F3363">
        <w:rPr>
          <w:rFonts w:asciiTheme="minorHAnsi" w:hAnsiTheme="minorHAnsi"/>
        </w:rPr>
        <w:t>, são compostos por: disponibilidades oriundas das receitas correntes e de capital, demais ingressos auferidos pelo RPPS, aplicações financeiras, títulos e valores mobiliários, ativos vinculados por lei e demais bens, e direitos e ativos com finalidade previdenciária.</w:t>
      </w:r>
    </w:p>
    <w:p w:rsidR="00E4247A" w:rsidRPr="007F3363" w:rsidRDefault="00E85516" w:rsidP="00CD207C">
      <w:pPr>
        <w:ind w:firstLine="720"/>
        <w:rPr>
          <w:rFonts w:asciiTheme="minorHAnsi" w:hAnsiTheme="minorHAnsi" w:cs="Times New Roman"/>
          <w:lang w:eastAsia="en-US"/>
        </w:rPr>
      </w:pPr>
      <w:r w:rsidRPr="007F3363">
        <w:rPr>
          <w:rFonts w:asciiTheme="minorHAnsi" w:hAnsiTheme="minorHAnsi"/>
        </w:rPr>
        <w:t>Consoante o artigo 4° da Resolução 3.922/2010, é dever dos responsáveis pela gestão do RPPS, antes do exercício a que se referir</w:t>
      </w:r>
      <w:r w:rsidR="00E4247A" w:rsidRPr="007F3363">
        <w:rPr>
          <w:rFonts w:asciiTheme="minorHAnsi" w:hAnsiTheme="minorHAnsi"/>
        </w:rPr>
        <w:t>,</w:t>
      </w:r>
      <w:r w:rsidRPr="007F3363">
        <w:rPr>
          <w:rFonts w:asciiTheme="minorHAnsi" w:hAnsiTheme="minorHAnsi"/>
        </w:rPr>
        <w:t xml:space="preserve"> a definição da Política Anual de Investimentos dos recursos de</w:t>
      </w:r>
      <w:r w:rsidR="00E4247A" w:rsidRPr="007F3363">
        <w:rPr>
          <w:rFonts w:asciiTheme="minorHAnsi" w:hAnsiTheme="minorHAnsi"/>
        </w:rPr>
        <w:t xml:space="preserve"> </w:t>
      </w:r>
      <w:r w:rsidRPr="007F3363">
        <w:rPr>
          <w:rFonts w:asciiTheme="minorHAnsi" w:hAnsiTheme="minorHAnsi"/>
        </w:rPr>
        <w:t>forma a contemplar, no mínimo:</w:t>
      </w:r>
      <w:r w:rsidR="00E4247A" w:rsidRPr="007F3363">
        <w:rPr>
          <w:rFonts w:asciiTheme="minorHAnsi" w:hAnsiTheme="minorHAnsi"/>
        </w:rPr>
        <w:t xml:space="preserve"> o modelo de gestão a ser adotado; a estratégia de alocação dos recursos entre os diversos segmentos de aplicação e as respectivas carteiras de investimentos;</w:t>
      </w:r>
      <w:r w:rsidR="00E4247A" w:rsidRPr="007F3363">
        <w:rPr>
          <w:rFonts w:asciiTheme="minorHAnsi" w:hAnsiTheme="minorHAnsi" w:cs="Times New Roman"/>
          <w:lang w:eastAsia="en-US"/>
        </w:rPr>
        <w:t xml:space="preserve"> </w:t>
      </w:r>
      <w:r w:rsidR="00E4247A" w:rsidRPr="007F3363">
        <w:rPr>
          <w:rFonts w:asciiTheme="minorHAnsi" w:hAnsiTheme="minorHAnsi"/>
          <w:lang w:eastAsia="en-US"/>
        </w:rPr>
        <w:t xml:space="preserve">os objetivos de investimento, incluindo os parâmetros de rentabilidade perseguidos que devem visar a manutenção do equilíbrio financeiro e atuarial; gestão de risco, </w:t>
      </w:r>
      <w:r w:rsidR="00E4247A" w:rsidRPr="007F3363">
        <w:rPr>
          <w:rFonts w:asciiTheme="minorHAnsi" w:hAnsiTheme="minorHAnsi"/>
        </w:rPr>
        <w:t>devendo esta levar em conta os limites de diversificação e concentração entre ativos; e demais possíveis restrições de investimento.</w:t>
      </w:r>
    </w:p>
    <w:p w:rsidR="00FA60A9" w:rsidRPr="007F3363" w:rsidRDefault="00E85516" w:rsidP="00CD207C">
      <w:pPr>
        <w:ind w:firstLine="720"/>
        <w:rPr>
          <w:rFonts w:asciiTheme="minorHAnsi" w:hAnsiTheme="minorHAnsi"/>
          <w:lang w:eastAsia="en-US"/>
        </w:rPr>
      </w:pPr>
      <w:r w:rsidRPr="007F3363">
        <w:rPr>
          <w:rFonts w:asciiTheme="minorHAnsi" w:hAnsiTheme="minorHAnsi"/>
          <w:lang w:eastAsia="en-US"/>
        </w:rPr>
        <w:t xml:space="preserve">Implementada com sucesso, uma Política de Investimentos, </w:t>
      </w:r>
      <w:r w:rsidR="00225F79" w:rsidRPr="007F3363">
        <w:rPr>
          <w:rFonts w:asciiTheme="minorHAnsi" w:hAnsiTheme="minorHAnsi"/>
          <w:lang w:eastAsia="en-US"/>
        </w:rPr>
        <w:t>b</w:t>
      </w:r>
      <w:r w:rsidRPr="007F3363">
        <w:rPr>
          <w:rFonts w:asciiTheme="minorHAnsi" w:hAnsiTheme="minorHAnsi"/>
          <w:lang w:eastAsia="en-US"/>
        </w:rPr>
        <w:t>usca</w:t>
      </w:r>
      <w:r w:rsidR="00F1532C" w:rsidRPr="007F3363">
        <w:rPr>
          <w:rFonts w:asciiTheme="minorHAnsi" w:hAnsiTheme="minorHAnsi"/>
          <w:lang w:eastAsia="en-US"/>
        </w:rPr>
        <w:t xml:space="preserve"> </w:t>
      </w:r>
      <w:r w:rsidR="00B26E95" w:rsidRPr="007F3363">
        <w:rPr>
          <w:rFonts w:asciiTheme="minorHAnsi" w:hAnsiTheme="minorHAnsi"/>
          <w:lang w:eastAsia="en-US"/>
        </w:rPr>
        <w:t>atingir</w:t>
      </w:r>
      <w:r w:rsidR="00F1532C" w:rsidRPr="007F3363">
        <w:rPr>
          <w:rFonts w:asciiTheme="minorHAnsi" w:hAnsiTheme="minorHAnsi"/>
          <w:lang w:eastAsia="en-US"/>
        </w:rPr>
        <w:t xml:space="preserve"> os mais elevados níveis de prudência, </w:t>
      </w:r>
      <w:r w:rsidR="00FA60A9" w:rsidRPr="007F3363">
        <w:rPr>
          <w:rFonts w:asciiTheme="minorHAnsi" w:hAnsiTheme="minorHAnsi"/>
          <w:lang w:eastAsia="en-US"/>
        </w:rPr>
        <w:t>boa fé e diligência, ob</w:t>
      </w:r>
      <w:r w:rsidR="00F07176" w:rsidRPr="007F3363">
        <w:rPr>
          <w:rFonts w:asciiTheme="minorHAnsi" w:hAnsiTheme="minorHAnsi"/>
          <w:lang w:eastAsia="en-US"/>
        </w:rPr>
        <w:t>s</w:t>
      </w:r>
      <w:r w:rsidR="00FA60A9" w:rsidRPr="007F3363">
        <w:rPr>
          <w:rFonts w:asciiTheme="minorHAnsi" w:hAnsiTheme="minorHAnsi"/>
          <w:lang w:eastAsia="en-US"/>
        </w:rPr>
        <w:t>ervando apropriados padrões éticos, de forma a garantir o cumprimento do dever fiduciário da Entidade em relação aos participantes, assistidos e patrocinadores do plano de benefícios.</w:t>
      </w:r>
    </w:p>
    <w:p w:rsidR="00E4247A" w:rsidRPr="007F3363" w:rsidRDefault="00E4247A" w:rsidP="00CD207C">
      <w:pPr>
        <w:spacing w:after="0"/>
        <w:jc w:val="left"/>
        <w:rPr>
          <w:rFonts w:asciiTheme="minorHAnsi" w:hAnsiTheme="minorHAnsi"/>
        </w:rPr>
      </w:pPr>
      <w:r w:rsidRPr="007F3363">
        <w:rPr>
          <w:rFonts w:asciiTheme="minorHAnsi" w:hAnsiTheme="minorHAnsi"/>
        </w:rPr>
        <w:br w:type="page"/>
      </w:r>
    </w:p>
    <w:p w:rsidR="00866BF8" w:rsidRPr="007F3363" w:rsidRDefault="00866BF8" w:rsidP="00CD207C">
      <w:pPr>
        <w:pStyle w:val="Ttulo1"/>
        <w:rPr>
          <w:rFonts w:asciiTheme="minorHAnsi" w:hAnsiTheme="minorHAnsi"/>
          <w:sz w:val="24"/>
          <w:szCs w:val="24"/>
        </w:rPr>
      </w:pPr>
      <w:bookmarkStart w:id="2" w:name="_Toc494961895"/>
      <w:r w:rsidRPr="007F3363">
        <w:rPr>
          <w:rFonts w:asciiTheme="minorHAnsi" w:hAnsiTheme="minorHAnsi"/>
          <w:sz w:val="24"/>
          <w:szCs w:val="24"/>
        </w:rPr>
        <w:lastRenderedPageBreak/>
        <w:t>Objetivos de Investimento</w:t>
      </w:r>
      <w:bookmarkEnd w:id="2"/>
    </w:p>
    <w:p w:rsidR="00866BF8" w:rsidRPr="007F3363" w:rsidRDefault="00F07176" w:rsidP="00CD207C">
      <w:pPr>
        <w:ind w:firstLine="720"/>
        <w:rPr>
          <w:rFonts w:asciiTheme="minorHAnsi" w:hAnsiTheme="minorHAnsi"/>
        </w:rPr>
      </w:pPr>
      <w:r w:rsidRPr="007F3363">
        <w:rPr>
          <w:rFonts w:asciiTheme="minorHAnsi" w:hAnsiTheme="minorHAnsi"/>
        </w:rPr>
        <w:t xml:space="preserve">O </w:t>
      </w:r>
      <w:r w:rsidR="002A505C" w:rsidRPr="007F3363">
        <w:rPr>
          <w:rFonts w:asciiTheme="minorHAnsi" w:hAnsiTheme="minorHAnsi"/>
          <w:lang w:eastAsia="en-US"/>
        </w:rPr>
        <w:t>Fundo</w:t>
      </w:r>
      <w:r w:rsidRPr="007F3363">
        <w:rPr>
          <w:rFonts w:asciiTheme="minorHAnsi" w:hAnsiTheme="minorHAnsi"/>
          <w:lang w:eastAsia="en-US"/>
        </w:rPr>
        <w:t xml:space="preserve"> </w:t>
      </w:r>
      <w:r w:rsidR="00866BF8" w:rsidRPr="007F3363">
        <w:rPr>
          <w:rFonts w:asciiTheme="minorHAnsi" w:hAnsiTheme="minorHAnsi"/>
        </w:rPr>
        <w:t>tem por finalidade g</w:t>
      </w:r>
      <w:r w:rsidR="00CF27CE" w:rsidRPr="007F3363">
        <w:rPr>
          <w:rFonts w:asciiTheme="minorHAnsi" w:hAnsiTheme="minorHAnsi"/>
        </w:rPr>
        <w:t>a</w:t>
      </w:r>
      <w:r w:rsidR="00866BF8" w:rsidRPr="007F3363">
        <w:rPr>
          <w:rFonts w:asciiTheme="minorHAnsi" w:hAnsiTheme="minorHAnsi"/>
        </w:rPr>
        <w:t xml:space="preserve">rantir o custeio do sistema de previdência dos servidores públicos efetivos </w:t>
      </w:r>
      <w:r w:rsidR="000705E6" w:rsidRPr="007F3363">
        <w:rPr>
          <w:rFonts w:asciiTheme="minorHAnsi" w:hAnsiTheme="minorHAnsi"/>
        </w:rPr>
        <w:t xml:space="preserve">do Município </w:t>
      </w:r>
      <w:r w:rsidR="00996CD1" w:rsidRPr="007F3363">
        <w:rPr>
          <w:rFonts w:asciiTheme="minorHAnsi" w:hAnsiTheme="minorHAnsi"/>
        </w:rPr>
        <w:t xml:space="preserve">de </w:t>
      </w:r>
      <w:r w:rsidR="0073786F" w:rsidRPr="007F3363">
        <w:rPr>
          <w:rFonts w:asciiTheme="minorHAnsi" w:hAnsiTheme="minorHAnsi"/>
        </w:rPr>
        <w:t>São Nicolau</w:t>
      </w:r>
      <w:r w:rsidR="00996CD1" w:rsidRPr="007F3363">
        <w:rPr>
          <w:rFonts w:asciiTheme="minorHAnsi" w:hAnsiTheme="minorHAnsi"/>
        </w:rPr>
        <w:t xml:space="preserve"> - RS</w:t>
      </w:r>
      <w:r w:rsidR="00866BF8" w:rsidRPr="007F3363">
        <w:rPr>
          <w:rFonts w:asciiTheme="minorHAnsi" w:hAnsiTheme="minorHAnsi"/>
        </w:rPr>
        <w:t xml:space="preserve"> mediante contribuição do respectivo ente público, dos servidores ativos e inativos, aposentados e dos pensionistas, observados os critérios que preservem o equilíbrio financeiro e atuarial e o disposto no art. 40 da Constituição Federal.</w:t>
      </w:r>
    </w:p>
    <w:p w:rsidR="00866BF8" w:rsidRPr="007F3363" w:rsidRDefault="00866BF8" w:rsidP="00CD207C">
      <w:pPr>
        <w:pStyle w:val="Ttulo2"/>
        <w:rPr>
          <w:rFonts w:asciiTheme="minorHAnsi" w:hAnsiTheme="minorHAnsi"/>
          <w:color w:val="auto"/>
          <w:sz w:val="24"/>
          <w:szCs w:val="24"/>
        </w:rPr>
      </w:pPr>
      <w:bookmarkStart w:id="3" w:name="_Toc494961896"/>
      <w:r w:rsidRPr="007F3363">
        <w:rPr>
          <w:rFonts w:asciiTheme="minorHAnsi" w:hAnsiTheme="minorHAnsi"/>
          <w:color w:val="auto"/>
          <w:sz w:val="24"/>
          <w:szCs w:val="24"/>
        </w:rPr>
        <w:t>Meta Atuarial</w:t>
      </w:r>
      <w:bookmarkEnd w:id="3"/>
    </w:p>
    <w:p w:rsidR="00866BF8" w:rsidRPr="007F3363" w:rsidRDefault="00866BF8" w:rsidP="00CD207C">
      <w:pPr>
        <w:ind w:firstLine="720"/>
        <w:rPr>
          <w:rFonts w:asciiTheme="minorHAnsi" w:hAnsiTheme="minorHAnsi"/>
        </w:rPr>
      </w:pPr>
      <w:r w:rsidRPr="007F3363">
        <w:rPr>
          <w:rFonts w:asciiTheme="minorHAnsi" w:hAnsiTheme="minorHAnsi"/>
        </w:rPr>
        <w:t xml:space="preserve">O objetivo de retorno deve, primeiramente, adequar-se ao perfil de risco do investidor e as restrições e limitações por ele e a ele impostas, além de respeitar as necessidades de mobilidade de investimentos e de liquidez adequada ao atendimento dos compromissos atuariais. </w:t>
      </w:r>
    </w:p>
    <w:p w:rsidR="00866BF8" w:rsidRPr="00177E7C" w:rsidRDefault="00866BF8" w:rsidP="00CD207C">
      <w:pPr>
        <w:ind w:firstLine="720"/>
        <w:rPr>
          <w:rFonts w:asciiTheme="minorHAnsi" w:hAnsiTheme="minorHAnsi"/>
          <w:b/>
        </w:rPr>
      </w:pPr>
      <w:r w:rsidRPr="007F3363">
        <w:rPr>
          <w:rFonts w:asciiTheme="minorHAnsi" w:hAnsiTheme="minorHAnsi"/>
        </w:rPr>
        <w:t xml:space="preserve">Tendo isto em vista, os recursos financeiros administrados pelo </w:t>
      </w:r>
      <w:r w:rsidRPr="007F3363">
        <w:rPr>
          <w:rFonts w:asciiTheme="minorHAnsi" w:hAnsiTheme="minorHAnsi"/>
          <w:lang w:eastAsia="en-US"/>
        </w:rPr>
        <w:t>F</w:t>
      </w:r>
      <w:r w:rsidR="002A505C" w:rsidRPr="007F3363">
        <w:rPr>
          <w:rFonts w:asciiTheme="minorHAnsi" w:hAnsiTheme="minorHAnsi"/>
          <w:lang w:eastAsia="en-US"/>
        </w:rPr>
        <w:t>undo</w:t>
      </w:r>
      <w:r w:rsidRPr="007F3363">
        <w:rPr>
          <w:rFonts w:asciiTheme="minorHAnsi" w:hAnsiTheme="minorHAnsi"/>
        </w:rPr>
        <w:t xml:space="preserve"> deverão ser </w:t>
      </w:r>
      <w:r w:rsidRPr="00177E7C">
        <w:rPr>
          <w:rFonts w:asciiTheme="minorHAnsi" w:hAnsiTheme="minorHAnsi"/>
        </w:rPr>
        <w:t>aplicados de forma a buscar um retorno igual ou superior a meta atuarial de longo prazo</w:t>
      </w:r>
      <w:r w:rsidRPr="00177E7C">
        <w:rPr>
          <w:rFonts w:asciiTheme="minorHAnsi" w:hAnsiTheme="minorHAnsi"/>
          <w:b/>
        </w:rPr>
        <w:t>,</w:t>
      </w:r>
      <w:r w:rsidRPr="00177E7C">
        <w:rPr>
          <w:rFonts w:asciiTheme="minorHAnsi" w:hAnsiTheme="minorHAnsi" w:cs="Arial"/>
          <w:b/>
          <w:lang w:eastAsia="en-US"/>
        </w:rPr>
        <w:t xml:space="preserve"> </w:t>
      </w:r>
      <w:r w:rsidR="00A80F38" w:rsidRPr="00177E7C">
        <w:rPr>
          <w:rFonts w:asciiTheme="minorHAnsi" w:hAnsiTheme="minorHAnsi"/>
          <w:b/>
        </w:rPr>
        <w:t>IPCA</w:t>
      </w:r>
      <w:r w:rsidRPr="00177E7C">
        <w:rPr>
          <w:rFonts w:asciiTheme="minorHAnsi" w:hAnsiTheme="minorHAnsi"/>
          <w:b/>
        </w:rPr>
        <w:t xml:space="preserve"> </w:t>
      </w:r>
      <w:r w:rsidR="00F250B3" w:rsidRPr="00177E7C">
        <w:rPr>
          <w:rFonts w:asciiTheme="minorHAnsi" w:hAnsiTheme="minorHAnsi"/>
          <w:b/>
        </w:rPr>
        <w:t>acrescido de</w:t>
      </w:r>
      <w:r w:rsidR="00856A8E" w:rsidRPr="00177E7C">
        <w:rPr>
          <w:rFonts w:asciiTheme="minorHAnsi" w:hAnsiTheme="minorHAnsi"/>
          <w:b/>
        </w:rPr>
        <w:t xml:space="preserve"> taxa de juros de </w:t>
      </w:r>
      <w:r w:rsidR="00A80F38" w:rsidRPr="00177E7C">
        <w:rPr>
          <w:rFonts w:asciiTheme="minorHAnsi" w:hAnsiTheme="minorHAnsi"/>
          <w:b/>
        </w:rPr>
        <w:t>6,00</w:t>
      </w:r>
      <w:r w:rsidRPr="00177E7C">
        <w:rPr>
          <w:rFonts w:asciiTheme="minorHAnsi" w:hAnsiTheme="minorHAnsi"/>
          <w:b/>
        </w:rPr>
        <w:t>% a.a. (</w:t>
      </w:r>
      <w:r w:rsidR="00A80F38" w:rsidRPr="00177E7C">
        <w:rPr>
          <w:rFonts w:asciiTheme="minorHAnsi" w:hAnsiTheme="minorHAnsi"/>
          <w:b/>
        </w:rPr>
        <w:t>seis porcento</w:t>
      </w:r>
      <w:r w:rsidRPr="00177E7C">
        <w:rPr>
          <w:rFonts w:asciiTheme="minorHAnsi" w:hAnsiTheme="minorHAnsi"/>
          <w:b/>
        </w:rPr>
        <w:t xml:space="preserve"> ao ano)</w:t>
      </w:r>
      <w:r w:rsidR="00BA69EA" w:rsidRPr="00177E7C">
        <w:rPr>
          <w:rFonts w:asciiTheme="minorHAnsi" w:hAnsiTheme="minorHAnsi"/>
        </w:rPr>
        <w:t>.</w:t>
      </w:r>
      <w:r w:rsidRPr="00177E7C">
        <w:rPr>
          <w:rFonts w:asciiTheme="minorHAnsi" w:hAnsiTheme="minorHAnsi"/>
          <w:b/>
        </w:rPr>
        <w:t xml:space="preserve"> </w:t>
      </w:r>
    </w:p>
    <w:p w:rsidR="00866BF8" w:rsidRPr="00177E7C" w:rsidRDefault="00BA69EA" w:rsidP="00CD207C">
      <w:pPr>
        <w:ind w:firstLine="720"/>
        <w:rPr>
          <w:rFonts w:asciiTheme="minorHAnsi" w:hAnsiTheme="minorHAnsi"/>
          <w:lang w:eastAsia="en-US"/>
        </w:rPr>
      </w:pPr>
      <w:r w:rsidRPr="00177E7C">
        <w:rPr>
          <w:rFonts w:asciiTheme="minorHAnsi" w:hAnsiTheme="minorHAnsi"/>
        </w:rPr>
        <w:t>Nesta política de investimento, utilizar-se</w:t>
      </w:r>
      <w:r w:rsidR="00AA3AD6" w:rsidRPr="00177E7C">
        <w:rPr>
          <w:rFonts w:asciiTheme="minorHAnsi" w:hAnsiTheme="minorHAnsi"/>
        </w:rPr>
        <w:t>-á</w:t>
      </w:r>
      <w:r w:rsidRPr="00177E7C">
        <w:rPr>
          <w:rFonts w:asciiTheme="minorHAnsi" w:hAnsiTheme="minorHAnsi"/>
        </w:rPr>
        <w:t xml:space="preserve"> a </w:t>
      </w:r>
      <w:r w:rsidR="00AA3AD6" w:rsidRPr="00177E7C">
        <w:rPr>
          <w:rFonts w:asciiTheme="minorHAnsi" w:hAnsiTheme="minorHAnsi"/>
        </w:rPr>
        <w:t xml:space="preserve">mesma </w:t>
      </w:r>
      <w:r w:rsidRPr="00177E7C">
        <w:rPr>
          <w:rFonts w:asciiTheme="minorHAnsi" w:hAnsiTheme="minorHAnsi"/>
        </w:rPr>
        <w:t xml:space="preserve">taxa de juros definida </w:t>
      </w:r>
      <w:r w:rsidR="00AA3AD6" w:rsidRPr="00177E7C">
        <w:rPr>
          <w:rFonts w:asciiTheme="minorHAnsi" w:hAnsiTheme="minorHAnsi"/>
        </w:rPr>
        <w:t xml:space="preserve">e utilizada na avaliação atuarial </w:t>
      </w:r>
      <w:r w:rsidR="00A66AFA" w:rsidRPr="00177E7C">
        <w:rPr>
          <w:rFonts w:asciiTheme="minorHAnsi" w:hAnsiTheme="minorHAnsi"/>
        </w:rPr>
        <w:t>de 201</w:t>
      </w:r>
      <w:r w:rsidR="00D321FC" w:rsidRPr="00177E7C">
        <w:rPr>
          <w:rFonts w:asciiTheme="minorHAnsi" w:hAnsiTheme="minorHAnsi"/>
        </w:rPr>
        <w:t>8</w:t>
      </w:r>
      <w:r w:rsidR="00AA3AD6" w:rsidRPr="00177E7C">
        <w:rPr>
          <w:rFonts w:asciiTheme="minorHAnsi" w:hAnsiTheme="minorHAnsi"/>
        </w:rPr>
        <w:t>.</w:t>
      </w:r>
      <w:r w:rsidR="00AA3AD6" w:rsidRPr="00177E7C">
        <w:rPr>
          <w:rFonts w:asciiTheme="minorHAnsi" w:hAnsiTheme="minorHAnsi" w:cs="Times"/>
        </w:rPr>
        <w:t xml:space="preserve"> </w:t>
      </w:r>
      <w:r w:rsidR="00AA3AD6" w:rsidRPr="00177E7C">
        <w:rPr>
          <w:rFonts w:asciiTheme="minorHAnsi" w:hAnsiTheme="minorHAnsi"/>
          <w:lang w:eastAsia="en-US"/>
        </w:rPr>
        <w:t xml:space="preserve">Entretanto, </w:t>
      </w:r>
      <w:r w:rsidR="004969D5" w:rsidRPr="00177E7C">
        <w:rPr>
          <w:rFonts w:asciiTheme="minorHAnsi" w:hAnsiTheme="minorHAnsi"/>
          <w:lang w:eastAsia="en-US"/>
        </w:rPr>
        <w:t>r</w:t>
      </w:r>
      <w:r w:rsidR="00866BF8" w:rsidRPr="00177E7C">
        <w:rPr>
          <w:rFonts w:asciiTheme="minorHAnsi" w:hAnsiTheme="minorHAnsi"/>
          <w:lang w:eastAsia="en-US"/>
        </w:rPr>
        <w:t>essalta</w:t>
      </w:r>
      <w:r w:rsidR="00AA3AD6" w:rsidRPr="00177E7C">
        <w:rPr>
          <w:rFonts w:asciiTheme="minorHAnsi" w:hAnsiTheme="minorHAnsi"/>
          <w:lang w:eastAsia="en-US"/>
        </w:rPr>
        <w:t>-se</w:t>
      </w:r>
      <w:r w:rsidR="004969D5" w:rsidRPr="00177E7C">
        <w:rPr>
          <w:rFonts w:asciiTheme="minorHAnsi" w:hAnsiTheme="minorHAnsi"/>
          <w:lang w:eastAsia="en-US"/>
        </w:rPr>
        <w:t xml:space="preserve"> que esta meta </w:t>
      </w:r>
      <w:r w:rsidR="00AA3AD6" w:rsidRPr="00177E7C">
        <w:rPr>
          <w:rFonts w:asciiTheme="minorHAnsi" w:hAnsiTheme="minorHAnsi"/>
          <w:lang w:eastAsia="en-US"/>
        </w:rPr>
        <w:t xml:space="preserve">atuarial </w:t>
      </w:r>
      <w:r w:rsidR="00866BF8" w:rsidRPr="00177E7C">
        <w:rPr>
          <w:rFonts w:asciiTheme="minorHAnsi" w:hAnsiTheme="minorHAnsi"/>
          <w:lang w:eastAsia="en-US"/>
        </w:rPr>
        <w:t xml:space="preserve">estabelecida </w:t>
      </w:r>
      <w:r w:rsidR="00AA3AD6" w:rsidRPr="00177E7C">
        <w:rPr>
          <w:rFonts w:asciiTheme="minorHAnsi" w:hAnsiTheme="minorHAnsi"/>
          <w:lang w:eastAsia="en-US"/>
        </w:rPr>
        <w:t xml:space="preserve">será avaliada anualmente, </w:t>
      </w:r>
      <w:r w:rsidR="00866BF8" w:rsidRPr="00177E7C">
        <w:rPr>
          <w:rFonts w:asciiTheme="minorHAnsi" w:hAnsiTheme="minorHAnsi"/>
          <w:lang w:eastAsia="en-US"/>
        </w:rPr>
        <w:t>pode</w:t>
      </w:r>
      <w:r w:rsidR="00AA3AD6" w:rsidRPr="00177E7C">
        <w:rPr>
          <w:rFonts w:asciiTheme="minorHAnsi" w:hAnsiTheme="minorHAnsi"/>
          <w:lang w:eastAsia="en-US"/>
        </w:rPr>
        <w:t>ndo</w:t>
      </w:r>
      <w:r w:rsidR="00866BF8" w:rsidRPr="00177E7C">
        <w:rPr>
          <w:rFonts w:asciiTheme="minorHAnsi" w:hAnsiTheme="minorHAnsi"/>
          <w:lang w:eastAsia="en-US"/>
        </w:rPr>
        <w:t xml:space="preserve"> sofrer ajustes</w:t>
      </w:r>
      <w:r w:rsidR="00AA3AD6" w:rsidRPr="00177E7C">
        <w:rPr>
          <w:rFonts w:asciiTheme="minorHAnsi" w:hAnsiTheme="minorHAnsi"/>
          <w:lang w:eastAsia="en-US"/>
        </w:rPr>
        <w:t xml:space="preserve"> futuros </w:t>
      </w:r>
      <w:r w:rsidR="00866BF8" w:rsidRPr="00177E7C">
        <w:rPr>
          <w:rFonts w:asciiTheme="minorHAnsi" w:hAnsiTheme="minorHAnsi"/>
          <w:lang w:eastAsia="en-US"/>
        </w:rPr>
        <w:t>de forma a adequar-se às expectativas de retorno de longo prazo.</w:t>
      </w:r>
      <w:r w:rsidR="004969D5" w:rsidRPr="00177E7C">
        <w:rPr>
          <w:rFonts w:asciiTheme="minorHAnsi" w:hAnsiTheme="minorHAnsi"/>
          <w:lang w:eastAsia="en-US"/>
        </w:rPr>
        <w:t xml:space="preserve"> </w:t>
      </w:r>
    </w:p>
    <w:p w:rsidR="002B418B" w:rsidRPr="00177E7C" w:rsidRDefault="002B418B" w:rsidP="00CD207C">
      <w:pPr>
        <w:pStyle w:val="Ttulo2"/>
        <w:rPr>
          <w:rFonts w:asciiTheme="minorHAnsi" w:hAnsiTheme="minorHAnsi"/>
          <w:color w:val="auto"/>
          <w:sz w:val="24"/>
          <w:szCs w:val="24"/>
        </w:rPr>
      </w:pPr>
      <w:bookmarkStart w:id="4" w:name="_Toc494961897"/>
      <w:r w:rsidRPr="00177E7C">
        <w:rPr>
          <w:rFonts w:asciiTheme="minorHAnsi" w:hAnsiTheme="minorHAnsi"/>
          <w:color w:val="auto"/>
          <w:sz w:val="24"/>
          <w:szCs w:val="24"/>
        </w:rPr>
        <w:t>Meta de Rentabilidade para 201</w:t>
      </w:r>
      <w:r w:rsidR="00437DA0" w:rsidRPr="00177E7C">
        <w:rPr>
          <w:rFonts w:asciiTheme="minorHAnsi" w:hAnsiTheme="minorHAnsi"/>
          <w:color w:val="auto"/>
          <w:sz w:val="24"/>
          <w:szCs w:val="24"/>
        </w:rPr>
        <w:t>9</w:t>
      </w:r>
      <w:r w:rsidRPr="00177E7C">
        <w:rPr>
          <w:rFonts w:asciiTheme="minorHAnsi" w:hAnsiTheme="minorHAnsi"/>
          <w:color w:val="auto"/>
          <w:sz w:val="24"/>
          <w:szCs w:val="24"/>
        </w:rPr>
        <w:t xml:space="preserve"> - Índice de Referência</w:t>
      </w:r>
      <w:bookmarkEnd w:id="4"/>
    </w:p>
    <w:p w:rsidR="002B418B" w:rsidRPr="00177E7C" w:rsidRDefault="002B418B" w:rsidP="00CD207C">
      <w:pPr>
        <w:rPr>
          <w:rFonts w:asciiTheme="minorHAnsi" w:hAnsiTheme="minorHAnsi"/>
        </w:rPr>
      </w:pPr>
      <w:r w:rsidRPr="00177E7C">
        <w:rPr>
          <w:rFonts w:asciiTheme="minorHAnsi" w:hAnsiTheme="minorHAnsi"/>
        </w:rPr>
        <w:tab/>
        <w:t>Para 201</w:t>
      </w:r>
      <w:r w:rsidR="00FE1B6D" w:rsidRPr="00177E7C">
        <w:rPr>
          <w:rFonts w:asciiTheme="minorHAnsi" w:hAnsiTheme="minorHAnsi"/>
        </w:rPr>
        <w:t>9</w:t>
      </w:r>
      <w:r w:rsidRPr="00177E7C">
        <w:rPr>
          <w:rFonts w:asciiTheme="minorHAnsi" w:hAnsiTheme="minorHAnsi"/>
        </w:rPr>
        <w:t xml:space="preserve"> trabalharemos com uma meta de rentabilidad</w:t>
      </w:r>
      <w:r w:rsidR="00F55736" w:rsidRPr="00177E7C">
        <w:rPr>
          <w:rFonts w:asciiTheme="minorHAnsi" w:hAnsiTheme="minorHAnsi"/>
        </w:rPr>
        <w:t>e próxima a SELIC, estimada em 8%, mais um prêmio de 1</w:t>
      </w:r>
      <w:r w:rsidRPr="00177E7C">
        <w:rPr>
          <w:rFonts w:asciiTheme="minorHAnsi" w:hAnsiTheme="minorHAnsi"/>
        </w:rPr>
        <w:t xml:space="preserve">%, que deverá ser provido da diversificação de recursos, aliado a um trabalho de gestão ativa em Renda Fixa e Variável, totalizando </w:t>
      </w:r>
      <w:r w:rsidR="00D563F4" w:rsidRPr="00177E7C">
        <w:rPr>
          <w:rFonts w:asciiTheme="minorHAnsi" w:hAnsiTheme="minorHAnsi"/>
        </w:rPr>
        <w:t>9,0</w:t>
      </w:r>
      <w:r w:rsidRPr="00177E7C">
        <w:rPr>
          <w:rFonts w:asciiTheme="minorHAnsi" w:hAnsiTheme="minorHAnsi"/>
        </w:rPr>
        <w:t>%. Salientamos que dificilmente será possível atingir meta atuarial no ano referência.</w:t>
      </w:r>
    </w:p>
    <w:p w:rsidR="00A66AFA" w:rsidRPr="007F3363" w:rsidRDefault="00A66AFA" w:rsidP="00CD207C">
      <w:pPr>
        <w:rPr>
          <w:rFonts w:asciiTheme="minorHAnsi" w:hAnsiTheme="minorHAnsi"/>
        </w:rPr>
      </w:pPr>
      <w:r w:rsidRPr="00177E7C">
        <w:rPr>
          <w:rFonts w:asciiTheme="minorHAnsi" w:hAnsiTheme="minorHAnsi"/>
        </w:rPr>
        <w:tab/>
        <w:t xml:space="preserve">O Índice foi escolhido pois melhor representa a taxa de remuneração livre de risco, tendo em vista o perfil conservador do </w:t>
      </w:r>
      <w:r w:rsidRPr="007F3363">
        <w:rPr>
          <w:rFonts w:asciiTheme="minorHAnsi" w:hAnsiTheme="minorHAnsi"/>
        </w:rPr>
        <w:t>RPPS e a baixa tolerância a risco, uma vez que um viés negativo pode comprometer a saúde do RPPS como um todo.</w:t>
      </w:r>
    </w:p>
    <w:p w:rsidR="00866BF8" w:rsidRPr="007F3363" w:rsidRDefault="00866BF8" w:rsidP="00CD207C">
      <w:pPr>
        <w:pStyle w:val="Ttulo2"/>
        <w:rPr>
          <w:rFonts w:asciiTheme="minorHAnsi" w:hAnsiTheme="minorHAnsi"/>
          <w:color w:val="auto"/>
          <w:sz w:val="24"/>
          <w:szCs w:val="24"/>
          <w:lang w:eastAsia="en-US"/>
        </w:rPr>
      </w:pPr>
      <w:bookmarkStart w:id="5" w:name="_Toc494961898"/>
      <w:r w:rsidRPr="007F3363">
        <w:rPr>
          <w:rFonts w:asciiTheme="minorHAnsi" w:hAnsiTheme="minorHAnsi"/>
          <w:color w:val="auto"/>
          <w:sz w:val="24"/>
          <w:szCs w:val="24"/>
          <w:lang w:eastAsia="en-US"/>
        </w:rPr>
        <w:t xml:space="preserve">Expectativa de Meta Atuarial para </w:t>
      </w:r>
      <w:r w:rsidR="005516DB" w:rsidRPr="007F3363">
        <w:rPr>
          <w:rFonts w:asciiTheme="minorHAnsi" w:hAnsiTheme="minorHAnsi"/>
          <w:color w:val="auto"/>
          <w:sz w:val="24"/>
          <w:szCs w:val="24"/>
          <w:lang w:eastAsia="en-US"/>
        </w:rPr>
        <w:t>2018</w:t>
      </w:r>
      <w:bookmarkEnd w:id="5"/>
    </w:p>
    <w:p w:rsidR="0014270C" w:rsidRPr="007F3363" w:rsidRDefault="00BA69EA" w:rsidP="00CD207C">
      <w:pPr>
        <w:rPr>
          <w:rFonts w:asciiTheme="minorHAnsi" w:hAnsiTheme="minorHAnsi"/>
          <w:lang w:eastAsia="en-US"/>
        </w:rPr>
      </w:pPr>
      <w:r w:rsidRPr="007F3363">
        <w:rPr>
          <w:rFonts w:asciiTheme="minorHAnsi" w:hAnsiTheme="minorHAnsi"/>
          <w:lang w:eastAsia="en-US"/>
        </w:rPr>
        <w:tab/>
      </w:r>
      <w:r w:rsidR="00565241" w:rsidRPr="007F3363">
        <w:rPr>
          <w:rFonts w:asciiTheme="minorHAnsi" w:hAnsiTheme="minorHAnsi"/>
          <w:lang w:eastAsia="en-US"/>
        </w:rPr>
        <w:t xml:space="preserve">Segundo previsões do Relatório Focus de </w:t>
      </w:r>
      <w:r w:rsidR="00980471" w:rsidRPr="007F3363">
        <w:rPr>
          <w:rFonts w:asciiTheme="minorHAnsi" w:hAnsiTheme="minorHAnsi"/>
          <w:lang w:eastAsia="en-US"/>
        </w:rPr>
        <w:t>06</w:t>
      </w:r>
      <w:r w:rsidR="009A3161" w:rsidRPr="007F3363">
        <w:rPr>
          <w:rFonts w:asciiTheme="minorHAnsi" w:hAnsiTheme="minorHAnsi"/>
          <w:lang w:eastAsia="en-US"/>
        </w:rPr>
        <w:t>/09</w:t>
      </w:r>
      <w:r w:rsidR="002B418B" w:rsidRPr="007F3363">
        <w:rPr>
          <w:rFonts w:asciiTheme="minorHAnsi" w:hAnsiTheme="minorHAnsi"/>
          <w:lang w:eastAsia="en-US"/>
        </w:rPr>
        <w:t>/201</w:t>
      </w:r>
      <w:r w:rsidR="00980471" w:rsidRPr="007F3363">
        <w:rPr>
          <w:rFonts w:asciiTheme="minorHAnsi" w:hAnsiTheme="minorHAnsi"/>
          <w:lang w:eastAsia="en-US"/>
        </w:rPr>
        <w:t>8</w:t>
      </w:r>
      <w:r w:rsidR="002B418B" w:rsidRPr="007F3363">
        <w:rPr>
          <w:rFonts w:asciiTheme="minorHAnsi" w:hAnsiTheme="minorHAnsi"/>
          <w:lang w:eastAsia="en-US"/>
        </w:rPr>
        <w:t xml:space="preserve"> (TOP 5</w:t>
      </w:r>
      <w:r w:rsidR="00980471" w:rsidRPr="007F3363">
        <w:rPr>
          <w:rFonts w:asciiTheme="minorHAnsi" w:hAnsiTheme="minorHAnsi"/>
          <w:lang w:eastAsia="en-US"/>
        </w:rPr>
        <w:t>- Curto Prazo</w:t>
      </w:r>
      <w:r w:rsidR="002B418B" w:rsidRPr="007F3363">
        <w:rPr>
          <w:rFonts w:asciiTheme="minorHAnsi" w:hAnsiTheme="minorHAnsi"/>
          <w:lang w:eastAsia="en-US"/>
        </w:rPr>
        <w:t>)</w:t>
      </w:r>
      <w:r w:rsidR="00DA569B" w:rsidRPr="007F3363">
        <w:rPr>
          <w:rFonts w:asciiTheme="minorHAnsi" w:hAnsiTheme="minorHAnsi"/>
          <w:lang w:eastAsia="en-US"/>
        </w:rPr>
        <w:t xml:space="preserve">, </w:t>
      </w:r>
      <w:r w:rsidR="00565241" w:rsidRPr="007F3363">
        <w:rPr>
          <w:rFonts w:asciiTheme="minorHAnsi" w:hAnsiTheme="minorHAnsi"/>
          <w:lang w:eastAsia="en-US"/>
        </w:rPr>
        <w:t xml:space="preserve">o IPCA deve </w:t>
      </w:r>
      <w:r w:rsidR="00745F1F" w:rsidRPr="007F3363">
        <w:rPr>
          <w:rFonts w:asciiTheme="minorHAnsi" w:hAnsiTheme="minorHAnsi"/>
          <w:lang w:eastAsia="en-US"/>
        </w:rPr>
        <w:t xml:space="preserve">encerrar o ano de </w:t>
      </w:r>
      <w:r w:rsidR="002B418B" w:rsidRPr="007F3363">
        <w:rPr>
          <w:rFonts w:asciiTheme="minorHAnsi" w:hAnsiTheme="minorHAnsi"/>
          <w:lang w:eastAsia="en-US"/>
        </w:rPr>
        <w:t>201</w:t>
      </w:r>
      <w:r w:rsidR="003D037B" w:rsidRPr="007F3363">
        <w:rPr>
          <w:rFonts w:asciiTheme="minorHAnsi" w:hAnsiTheme="minorHAnsi"/>
          <w:lang w:eastAsia="en-US"/>
        </w:rPr>
        <w:t>9</w:t>
      </w:r>
      <w:r w:rsidR="00DA569B" w:rsidRPr="007F3363">
        <w:rPr>
          <w:rFonts w:asciiTheme="minorHAnsi" w:hAnsiTheme="minorHAnsi"/>
          <w:lang w:eastAsia="en-US"/>
        </w:rPr>
        <w:t xml:space="preserve"> em </w:t>
      </w:r>
      <w:r w:rsidR="003D037B" w:rsidRPr="007F3363">
        <w:rPr>
          <w:rFonts w:asciiTheme="minorHAnsi" w:hAnsiTheme="minorHAnsi"/>
          <w:lang w:eastAsia="en-US"/>
        </w:rPr>
        <w:t>4</w:t>
      </w:r>
      <w:r w:rsidR="002B418B" w:rsidRPr="007F3363">
        <w:rPr>
          <w:rFonts w:asciiTheme="minorHAnsi" w:hAnsiTheme="minorHAnsi"/>
          <w:lang w:eastAsia="en-US"/>
        </w:rPr>
        <w:t>,</w:t>
      </w:r>
      <w:r w:rsidR="003D037B" w:rsidRPr="007F3363">
        <w:rPr>
          <w:rFonts w:asciiTheme="minorHAnsi" w:hAnsiTheme="minorHAnsi"/>
          <w:lang w:eastAsia="en-US"/>
        </w:rPr>
        <w:t>17</w:t>
      </w:r>
      <w:r w:rsidR="00DA569B" w:rsidRPr="007F3363">
        <w:rPr>
          <w:rFonts w:asciiTheme="minorHAnsi" w:hAnsiTheme="minorHAnsi"/>
          <w:lang w:eastAsia="en-US"/>
        </w:rPr>
        <w:t>%</w:t>
      </w:r>
      <w:r w:rsidR="00565241" w:rsidRPr="007F3363">
        <w:rPr>
          <w:rFonts w:asciiTheme="minorHAnsi" w:hAnsiTheme="minorHAnsi"/>
          <w:lang w:eastAsia="en-US"/>
        </w:rPr>
        <w:t xml:space="preserve">. </w:t>
      </w:r>
      <w:r w:rsidR="00706598" w:rsidRPr="007F3363">
        <w:rPr>
          <w:rFonts w:asciiTheme="minorHAnsi" w:hAnsiTheme="minorHAnsi"/>
          <w:lang w:eastAsia="en-US"/>
        </w:rPr>
        <w:t xml:space="preserve">Já o INPC, </w:t>
      </w:r>
      <w:r w:rsidR="0014270C" w:rsidRPr="007F3363">
        <w:rPr>
          <w:rFonts w:asciiTheme="minorHAnsi" w:hAnsiTheme="minorHAnsi"/>
          <w:lang w:eastAsia="en-US"/>
        </w:rPr>
        <w:t>pelo Sistema de Expectativas de Mercado do Banco Central, a mediana aponta para 4,</w:t>
      </w:r>
      <w:r w:rsidR="00FE0131" w:rsidRPr="007F3363">
        <w:rPr>
          <w:rFonts w:asciiTheme="minorHAnsi" w:hAnsiTheme="minorHAnsi"/>
          <w:lang w:eastAsia="en-US"/>
        </w:rPr>
        <w:t>13</w:t>
      </w:r>
      <w:r w:rsidR="0014270C" w:rsidRPr="007F3363">
        <w:rPr>
          <w:rFonts w:asciiTheme="minorHAnsi" w:hAnsiTheme="minorHAnsi"/>
          <w:lang w:eastAsia="en-US"/>
        </w:rPr>
        <w:t>% em 201</w:t>
      </w:r>
      <w:r w:rsidR="00FE0131" w:rsidRPr="007F3363">
        <w:rPr>
          <w:rFonts w:asciiTheme="minorHAnsi" w:hAnsiTheme="minorHAnsi"/>
          <w:lang w:eastAsia="en-US"/>
        </w:rPr>
        <w:t>9</w:t>
      </w:r>
      <w:r w:rsidR="0014270C" w:rsidRPr="007F3363">
        <w:rPr>
          <w:rFonts w:asciiTheme="minorHAnsi" w:hAnsiTheme="minorHAnsi"/>
          <w:lang w:eastAsia="en-US"/>
        </w:rPr>
        <w:t>.</w:t>
      </w:r>
    </w:p>
    <w:p w:rsidR="005C7DCB" w:rsidRPr="007F3363" w:rsidRDefault="0014270C" w:rsidP="00CD207C">
      <w:pPr>
        <w:rPr>
          <w:rFonts w:asciiTheme="minorHAnsi" w:hAnsiTheme="minorHAnsi"/>
          <w:lang w:eastAsia="en-US"/>
        </w:rPr>
      </w:pPr>
      <w:r w:rsidRPr="007F3363">
        <w:rPr>
          <w:rFonts w:asciiTheme="minorHAnsi" w:hAnsiTheme="minorHAnsi"/>
          <w:lang w:eastAsia="en-US"/>
        </w:rPr>
        <w:tab/>
      </w:r>
    </w:p>
    <w:p w:rsidR="00A678B5" w:rsidRPr="007F3363" w:rsidRDefault="00DA569B" w:rsidP="00CD207C">
      <w:pPr>
        <w:ind w:firstLine="709"/>
        <w:rPr>
          <w:rFonts w:asciiTheme="minorHAnsi" w:hAnsiTheme="minorHAnsi"/>
          <w:lang w:eastAsia="en-US"/>
        </w:rPr>
      </w:pPr>
      <w:r w:rsidRPr="007F3363">
        <w:rPr>
          <w:rFonts w:asciiTheme="minorHAnsi" w:hAnsiTheme="minorHAnsi"/>
          <w:lang w:eastAsia="en-US"/>
        </w:rPr>
        <w:lastRenderedPageBreak/>
        <w:t xml:space="preserve">Dada esta expectativa de </w:t>
      </w:r>
      <w:r w:rsidR="004B75FA" w:rsidRPr="007F3363">
        <w:rPr>
          <w:rFonts w:asciiTheme="minorHAnsi" w:hAnsiTheme="minorHAnsi"/>
          <w:lang w:eastAsia="en-US"/>
        </w:rPr>
        <w:t>4</w:t>
      </w:r>
      <w:r w:rsidR="00A678B5" w:rsidRPr="007F3363">
        <w:rPr>
          <w:rFonts w:asciiTheme="minorHAnsi" w:hAnsiTheme="minorHAnsi"/>
          <w:lang w:eastAsia="en-US"/>
        </w:rPr>
        <w:t>,</w:t>
      </w:r>
      <w:r w:rsidR="004B75FA" w:rsidRPr="007F3363">
        <w:rPr>
          <w:rFonts w:asciiTheme="minorHAnsi" w:hAnsiTheme="minorHAnsi"/>
          <w:lang w:eastAsia="en-US"/>
        </w:rPr>
        <w:t>17</w:t>
      </w:r>
      <w:r w:rsidRPr="007F3363">
        <w:rPr>
          <w:rFonts w:asciiTheme="minorHAnsi" w:hAnsiTheme="minorHAnsi"/>
          <w:lang w:eastAsia="en-US"/>
        </w:rPr>
        <w:t xml:space="preserve">% </w:t>
      </w:r>
      <w:r w:rsidR="00A678B5" w:rsidRPr="007F3363">
        <w:rPr>
          <w:rFonts w:asciiTheme="minorHAnsi" w:hAnsiTheme="minorHAnsi"/>
          <w:lang w:eastAsia="en-US"/>
        </w:rPr>
        <w:t>no ano</w:t>
      </w:r>
      <w:r w:rsidRPr="007F3363">
        <w:rPr>
          <w:rFonts w:asciiTheme="minorHAnsi" w:hAnsiTheme="minorHAnsi"/>
          <w:lang w:eastAsia="en-US"/>
        </w:rPr>
        <w:t xml:space="preserve">, pode-se esperar que o IPCA mensal </w:t>
      </w:r>
      <w:r w:rsidR="001365B3" w:rsidRPr="007F3363">
        <w:rPr>
          <w:rFonts w:asciiTheme="minorHAnsi" w:hAnsiTheme="minorHAnsi"/>
          <w:lang w:eastAsia="en-US"/>
        </w:rPr>
        <w:t xml:space="preserve">médio (de </w:t>
      </w:r>
      <w:r w:rsidR="00745F1F" w:rsidRPr="007F3363">
        <w:rPr>
          <w:rFonts w:asciiTheme="minorHAnsi" w:hAnsiTheme="minorHAnsi"/>
          <w:lang w:eastAsia="en-US"/>
        </w:rPr>
        <w:t xml:space="preserve">janeiro </w:t>
      </w:r>
      <w:r w:rsidR="001365B3" w:rsidRPr="007F3363">
        <w:rPr>
          <w:rFonts w:asciiTheme="minorHAnsi" w:hAnsiTheme="minorHAnsi"/>
          <w:lang w:eastAsia="en-US"/>
        </w:rPr>
        <w:t xml:space="preserve">a Dezembro) seja de </w:t>
      </w:r>
      <w:r w:rsidR="00745F1F" w:rsidRPr="007F3363">
        <w:rPr>
          <w:rFonts w:asciiTheme="minorHAnsi" w:hAnsiTheme="minorHAnsi"/>
          <w:lang w:eastAsia="en-US"/>
        </w:rPr>
        <w:t>0,</w:t>
      </w:r>
      <w:r w:rsidR="00A678B5" w:rsidRPr="007F3363">
        <w:rPr>
          <w:rFonts w:asciiTheme="minorHAnsi" w:hAnsiTheme="minorHAnsi"/>
          <w:lang w:eastAsia="en-US"/>
        </w:rPr>
        <w:t>3</w:t>
      </w:r>
      <w:r w:rsidR="004B75FA" w:rsidRPr="007F3363">
        <w:rPr>
          <w:rFonts w:asciiTheme="minorHAnsi" w:hAnsiTheme="minorHAnsi"/>
          <w:lang w:eastAsia="en-US"/>
        </w:rPr>
        <w:t>41</w:t>
      </w:r>
      <w:r w:rsidR="001365B3" w:rsidRPr="007F3363">
        <w:rPr>
          <w:rFonts w:asciiTheme="minorHAnsi" w:hAnsiTheme="minorHAnsi"/>
          <w:lang w:eastAsia="en-US"/>
        </w:rPr>
        <w:t xml:space="preserve">% - resultando em uma meta atuarial média </w:t>
      </w:r>
      <w:r w:rsidR="005C7DCB" w:rsidRPr="007F3363">
        <w:rPr>
          <w:rFonts w:asciiTheme="minorHAnsi" w:hAnsiTheme="minorHAnsi"/>
          <w:lang w:eastAsia="en-US"/>
        </w:rPr>
        <w:t xml:space="preserve">mensal </w:t>
      </w:r>
      <w:r w:rsidR="001365B3" w:rsidRPr="007F3363">
        <w:rPr>
          <w:rFonts w:asciiTheme="minorHAnsi" w:hAnsiTheme="minorHAnsi"/>
          <w:lang w:eastAsia="en-US"/>
        </w:rPr>
        <w:t>de 0,</w:t>
      </w:r>
      <w:r w:rsidR="003A4C80" w:rsidRPr="007F3363">
        <w:rPr>
          <w:rFonts w:asciiTheme="minorHAnsi" w:hAnsiTheme="minorHAnsi"/>
          <w:lang w:eastAsia="en-US"/>
        </w:rPr>
        <w:t>83</w:t>
      </w:r>
      <w:r w:rsidR="00A678B5" w:rsidRPr="007F3363">
        <w:rPr>
          <w:rFonts w:asciiTheme="minorHAnsi" w:hAnsiTheme="minorHAnsi"/>
          <w:lang w:eastAsia="en-US"/>
        </w:rPr>
        <w:t xml:space="preserve">% e meta atuarial anual de </w:t>
      </w:r>
      <w:r w:rsidR="00C67B44" w:rsidRPr="007F3363">
        <w:rPr>
          <w:rFonts w:asciiTheme="minorHAnsi" w:hAnsiTheme="minorHAnsi"/>
          <w:lang w:eastAsia="en-US"/>
        </w:rPr>
        <w:t>10</w:t>
      </w:r>
      <w:r w:rsidR="00A678B5" w:rsidRPr="007F3363">
        <w:rPr>
          <w:rFonts w:asciiTheme="minorHAnsi" w:hAnsiTheme="minorHAnsi"/>
          <w:lang w:eastAsia="en-US"/>
        </w:rPr>
        <w:t>,</w:t>
      </w:r>
      <w:r w:rsidR="00C67B44" w:rsidRPr="007F3363">
        <w:rPr>
          <w:rFonts w:asciiTheme="minorHAnsi" w:hAnsiTheme="minorHAnsi"/>
          <w:lang w:eastAsia="en-US"/>
        </w:rPr>
        <w:t>1</w:t>
      </w:r>
      <w:r w:rsidR="004B75FA" w:rsidRPr="007F3363">
        <w:rPr>
          <w:rFonts w:asciiTheme="minorHAnsi" w:hAnsiTheme="minorHAnsi"/>
          <w:lang w:eastAsia="en-US"/>
        </w:rPr>
        <w:t>7</w:t>
      </w:r>
      <w:r w:rsidR="00A678B5" w:rsidRPr="007F3363">
        <w:rPr>
          <w:rFonts w:asciiTheme="minorHAnsi" w:hAnsiTheme="minorHAnsi"/>
          <w:lang w:eastAsia="en-US"/>
        </w:rPr>
        <w:t>% (</w:t>
      </w:r>
      <w:proofErr w:type="gramStart"/>
      <w:r w:rsidR="00A678B5" w:rsidRPr="007F3363">
        <w:rPr>
          <w:rFonts w:asciiTheme="minorHAnsi" w:hAnsiTheme="minorHAnsi"/>
          <w:lang w:eastAsia="en-US"/>
        </w:rPr>
        <w:t>ou seja</w:t>
      </w:r>
      <w:proofErr w:type="gramEnd"/>
      <w:r w:rsidR="00A678B5" w:rsidRPr="007F3363">
        <w:rPr>
          <w:rFonts w:asciiTheme="minorHAnsi" w:hAnsiTheme="minorHAnsi"/>
          <w:lang w:eastAsia="en-US"/>
        </w:rPr>
        <w:t xml:space="preserve"> </w:t>
      </w:r>
      <w:r w:rsidR="00C67B44" w:rsidRPr="007F3363">
        <w:rPr>
          <w:rFonts w:asciiTheme="minorHAnsi" w:hAnsiTheme="minorHAnsi"/>
          <w:lang w:eastAsia="en-US"/>
        </w:rPr>
        <w:t>6</w:t>
      </w:r>
      <w:r w:rsidR="004B75FA" w:rsidRPr="007F3363">
        <w:rPr>
          <w:rFonts w:asciiTheme="minorHAnsi" w:hAnsiTheme="minorHAnsi"/>
          <w:lang w:eastAsia="en-US"/>
        </w:rPr>
        <w:t>,</w:t>
      </w:r>
      <w:r w:rsidR="00C67B44" w:rsidRPr="007F3363">
        <w:rPr>
          <w:rFonts w:asciiTheme="minorHAnsi" w:hAnsiTheme="minorHAnsi"/>
          <w:lang w:eastAsia="en-US"/>
        </w:rPr>
        <w:t>0</w:t>
      </w:r>
      <w:r w:rsidR="00A678B5" w:rsidRPr="007F3363">
        <w:rPr>
          <w:rFonts w:asciiTheme="minorHAnsi" w:hAnsiTheme="minorHAnsi"/>
          <w:lang w:eastAsia="en-US"/>
        </w:rPr>
        <w:t>%+IPCA).</w:t>
      </w:r>
    </w:p>
    <w:p w:rsidR="001966D1" w:rsidRPr="007F3363" w:rsidRDefault="005C7DCB" w:rsidP="00CD207C">
      <w:pPr>
        <w:ind w:firstLine="709"/>
        <w:rPr>
          <w:rFonts w:asciiTheme="minorHAnsi" w:hAnsiTheme="minorHAnsi"/>
          <w:lang w:eastAsia="en-US"/>
        </w:rPr>
      </w:pPr>
      <w:r w:rsidRPr="007F3363">
        <w:rPr>
          <w:rFonts w:asciiTheme="minorHAnsi" w:hAnsiTheme="minorHAnsi"/>
          <w:lang w:eastAsia="en-US"/>
        </w:rPr>
        <w:t>Atualmente</w:t>
      </w:r>
      <w:r w:rsidR="00A678B5" w:rsidRPr="007F3363">
        <w:rPr>
          <w:rFonts w:asciiTheme="minorHAnsi" w:hAnsiTheme="minorHAnsi"/>
          <w:lang w:eastAsia="en-US"/>
        </w:rPr>
        <w:t xml:space="preserve"> a</w:t>
      </w:r>
      <w:r w:rsidRPr="007F3363">
        <w:rPr>
          <w:rFonts w:asciiTheme="minorHAnsi" w:hAnsiTheme="minorHAnsi"/>
          <w:lang w:eastAsia="en-US"/>
        </w:rPr>
        <w:t xml:space="preserve"> taxa DI</w:t>
      </w:r>
      <w:r w:rsidR="00A678B5" w:rsidRPr="007F3363">
        <w:rPr>
          <w:rFonts w:asciiTheme="minorHAnsi" w:hAnsiTheme="minorHAnsi"/>
          <w:lang w:eastAsia="en-US"/>
        </w:rPr>
        <w:t xml:space="preserve"> anual está em </w:t>
      </w:r>
      <w:r w:rsidR="009D08DC" w:rsidRPr="007F3363">
        <w:rPr>
          <w:rFonts w:asciiTheme="minorHAnsi" w:hAnsiTheme="minorHAnsi"/>
          <w:lang w:eastAsia="en-US"/>
        </w:rPr>
        <w:t>6,39</w:t>
      </w:r>
      <w:r w:rsidR="00A678B5" w:rsidRPr="007F3363">
        <w:rPr>
          <w:rFonts w:asciiTheme="minorHAnsi" w:hAnsiTheme="minorHAnsi"/>
          <w:lang w:eastAsia="en-US"/>
        </w:rPr>
        <w:t>%. A taxa DI</w:t>
      </w:r>
      <w:r w:rsidRPr="007F3363">
        <w:rPr>
          <w:rFonts w:asciiTheme="minorHAnsi" w:hAnsiTheme="minorHAnsi"/>
          <w:lang w:eastAsia="en-US"/>
        </w:rPr>
        <w:t xml:space="preserve"> mensal gira em torno de </w:t>
      </w:r>
      <w:r w:rsidR="00A678B5" w:rsidRPr="007F3363">
        <w:rPr>
          <w:rFonts w:asciiTheme="minorHAnsi" w:hAnsiTheme="minorHAnsi"/>
          <w:lang w:eastAsia="en-US"/>
        </w:rPr>
        <w:t>0,</w:t>
      </w:r>
      <w:r w:rsidR="009D08DC" w:rsidRPr="007F3363">
        <w:rPr>
          <w:rFonts w:asciiTheme="minorHAnsi" w:hAnsiTheme="minorHAnsi"/>
          <w:lang w:eastAsia="en-US"/>
        </w:rPr>
        <w:t>52</w:t>
      </w:r>
      <w:r w:rsidRPr="007F3363">
        <w:rPr>
          <w:rFonts w:asciiTheme="minorHAnsi" w:hAnsiTheme="minorHAnsi"/>
          <w:lang w:eastAsia="en-US"/>
        </w:rPr>
        <w:t xml:space="preserve">%, dependendo do número de dias úteis no mês. </w:t>
      </w:r>
      <w:r w:rsidR="00A678B5" w:rsidRPr="007F3363">
        <w:rPr>
          <w:rFonts w:asciiTheme="minorHAnsi" w:hAnsiTheme="minorHAnsi"/>
          <w:lang w:eastAsia="en-US"/>
        </w:rPr>
        <w:t>Para 201</w:t>
      </w:r>
      <w:r w:rsidR="009D08DC" w:rsidRPr="007F3363">
        <w:rPr>
          <w:rFonts w:asciiTheme="minorHAnsi" w:hAnsiTheme="minorHAnsi"/>
          <w:lang w:eastAsia="en-US"/>
        </w:rPr>
        <w:t>9</w:t>
      </w:r>
      <w:r w:rsidR="00A678B5" w:rsidRPr="007F3363">
        <w:rPr>
          <w:rFonts w:asciiTheme="minorHAnsi" w:hAnsiTheme="minorHAnsi"/>
          <w:lang w:eastAsia="en-US"/>
        </w:rPr>
        <w:t xml:space="preserve">, devemos ter uma taxa ainda mais </w:t>
      </w:r>
      <w:r w:rsidR="009D08DC" w:rsidRPr="007F3363">
        <w:rPr>
          <w:rFonts w:asciiTheme="minorHAnsi" w:hAnsiTheme="minorHAnsi"/>
          <w:lang w:eastAsia="en-US"/>
        </w:rPr>
        <w:t>alta</w:t>
      </w:r>
      <w:r w:rsidR="00A678B5" w:rsidRPr="007F3363">
        <w:rPr>
          <w:rFonts w:asciiTheme="minorHAnsi" w:hAnsiTheme="minorHAnsi"/>
          <w:lang w:eastAsia="en-US"/>
        </w:rPr>
        <w:t>, girando em torno de 7</w:t>
      </w:r>
      <w:r w:rsidR="009D08DC" w:rsidRPr="007F3363">
        <w:rPr>
          <w:rFonts w:asciiTheme="minorHAnsi" w:hAnsiTheme="minorHAnsi"/>
          <w:lang w:eastAsia="en-US"/>
        </w:rPr>
        <w:t>,50</w:t>
      </w:r>
      <w:r w:rsidR="00A678B5" w:rsidRPr="007F3363">
        <w:rPr>
          <w:rFonts w:asciiTheme="minorHAnsi" w:hAnsiTheme="minorHAnsi"/>
          <w:lang w:eastAsia="en-US"/>
        </w:rPr>
        <w:t>% a.a., nos fornecendo uma rentabilidade mensal de 0,</w:t>
      </w:r>
      <w:r w:rsidR="009D08DC" w:rsidRPr="007F3363">
        <w:rPr>
          <w:rFonts w:asciiTheme="minorHAnsi" w:hAnsiTheme="minorHAnsi"/>
          <w:lang w:eastAsia="en-US"/>
        </w:rPr>
        <w:t>60</w:t>
      </w:r>
      <w:r w:rsidR="00A678B5" w:rsidRPr="007F3363">
        <w:rPr>
          <w:rFonts w:asciiTheme="minorHAnsi" w:hAnsiTheme="minorHAnsi"/>
          <w:lang w:eastAsia="en-US"/>
        </w:rPr>
        <w:t>% ao mês</w:t>
      </w:r>
      <w:r w:rsidR="004F7A1A" w:rsidRPr="007F3363">
        <w:rPr>
          <w:rFonts w:asciiTheme="minorHAnsi" w:hAnsiTheme="minorHAnsi"/>
          <w:lang w:eastAsia="en-US"/>
        </w:rPr>
        <w:t>, deixando claro e evidenciado a grande dificuldade que será atingir a Meta Atuarial em 201</w:t>
      </w:r>
      <w:r w:rsidR="009D08DC" w:rsidRPr="007F3363">
        <w:rPr>
          <w:rFonts w:asciiTheme="minorHAnsi" w:hAnsiTheme="minorHAnsi"/>
          <w:lang w:eastAsia="en-US"/>
        </w:rPr>
        <w:t>9</w:t>
      </w:r>
      <w:r w:rsidR="004F7A1A" w:rsidRPr="007F3363">
        <w:rPr>
          <w:rFonts w:asciiTheme="minorHAnsi" w:hAnsiTheme="minorHAnsi"/>
          <w:lang w:eastAsia="en-US"/>
        </w:rPr>
        <w:t>.</w:t>
      </w:r>
      <w:r w:rsidR="00A678B5" w:rsidRPr="007F3363">
        <w:rPr>
          <w:rFonts w:asciiTheme="minorHAnsi" w:hAnsiTheme="minorHAnsi"/>
          <w:lang w:eastAsia="en-US"/>
        </w:rPr>
        <w:t xml:space="preserve"> </w:t>
      </w:r>
    </w:p>
    <w:p w:rsidR="001966D1" w:rsidRPr="007F3363" w:rsidRDefault="001966D1" w:rsidP="00CD207C">
      <w:pPr>
        <w:pStyle w:val="Ttulo2"/>
        <w:rPr>
          <w:rFonts w:asciiTheme="minorHAnsi" w:hAnsiTheme="minorHAnsi"/>
          <w:color w:val="auto"/>
          <w:lang w:eastAsia="en-US"/>
        </w:rPr>
      </w:pPr>
      <w:bookmarkStart w:id="6" w:name="_Toc494961899"/>
      <w:r w:rsidRPr="007F3363">
        <w:rPr>
          <w:rFonts w:asciiTheme="minorHAnsi" w:hAnsiTheme="minorHAnsi"/>
          <w:color w:val="auto"/>
          <w:lang w:eastAsia="en-US"/>
        </w:rPr>
        <w:t>Aderência das Metas de Rentabilidade ao Perfil da Carteira do RPPS e das Obrigações do Plano</w:t>
      </w:r>
      <w:bookmarkEnd w:id="6"/>
    </w:p>
    <w:p w:rsidR="005C7DCB" w:rsidRPr="007F3363" w:rsidRDefault="004F7A1A" w:rsidP="00CD207C">
      <w:pPr>
        <w:ind w:firstLine="709"/>
        <w:rPr>
          <w:rFonts w:asciiTheme="minorHAnsi" w:hAnsiTheme="minorHAnsi"/>
          <w:lang w:eastAsia="en-US"/>
        </w:rPr>
      </w:pPr>
      <w:r w:rsidRPr="007F3363">
        <w:rPr>
          <w:rFonts w:asciiTheme="minorHAnsi" w:hAnsiTheme="minorHAnsi"/>
          <w:lang w:eastAsia="en-US"/>
        </w:rPr>
        <w:t>A meta de rentabilidade escolhida (SELIC) adicionada de um prêmio, está de acordo com o perfil conservador do RPPS e irá permitir que o RPPS mantenha uma carteira de baixo risco, honrando seus compromissos de curto e médio prazo. A meta de rentabilidade será ajustada ao longo dos anos de forma a acompanhar a taxa livre de risco, destarte, visando garantir as obrigações de longo prazo sem risco elevado de prejuízo.</w:t>
      </w:r>
    </w:p>
    <w:tbl>
      <w:tblPr>
        <w:tblW w:w="10127" w:type="dxa"/>
        <w:tblInd w:w="93" w:type="dxa"/>
        <w:tblBorders>
          <w:insideH w:val="single" w:sz="4" w:space="0" w:color="auto"/>
        </w:tblBorders>
        <w:tblLook w:val="04A0" w:firstRow="1" w:lastRow="0" w:firstColumn="1" w:lastColumn="0" w:noHBand="0" w:noVBand="1"/>
      </w:tblPr>
      <w:tblGrid>
        <w:gridCol w:w="3220"/>
        <w:gridCol w:w="3387"/>
        <w:gridCol w:w="3520"/>
      </w:tblGrid>
      <w:tr w:rsidR="00520C76" w:rsidRPr="007F3363" w:rsidTr="00E632FE">
        <w:trPr>
          <w:trHeight w:val="300"/>
        </w:trPr>
        <w:tc>
          <w:tcPr>
            <w:tcW w:w="3220" w:type="dxa"/>
            <w:tcBorders>
              <w:top w:val="single" w:sz="4" w:space="0" w:color="auto"/>
              <w:bottom w:val="single" w:sz="4" w:space="0" w:color="auto"/>
            </w:tcBorders>
            <w:shd w:val="clear" w:color="000000" w:fill="F2F2F2"/>
            <w:noWrap/>
            <w:vAlign w:val="center"/>
            <w:hideMark/>
          </w:tcPr>
          <w:p w:rsidR="00520C76" w:rsidRPr="007F3363" w:rsidRDefault="00520C76" w:rsidP="00CD207C">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 </w:t>
            </w:r>
          </w:p>
        </w:tc>
        <w:tc>
          <w:tcPr>
            <w:tcW w:w="3387" w:type="dxa"/>
            <w:tcBorders>
              <w:top w:val="single" w:sz="4" w:space="0" w:color="auto"/>
              <w:bottom w:val="single" w:sz="4" w:space="0" w:color="auto"/>
            </w:tcBorders>
            <w:shd w:val="clear" w:color="000000" w:fill="F2F2F2"/>
            <w:vAlign w:val="center"/>
            <w:hideMark/>
          </w:tcPr>
          <w:p w:rsidR="00520C76" w:rsidRPr="007F3363" w:rsidRDefault="00520C76" w:rsidP="00CD207C">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Relatório Focus</w:t>
            </w:r>
          </w:p>
        </w:tc>
        <w:tc>
          <w:tcPr>
            <w:tcW w:w="3520" w:type="dxa"/>
            <w:tcBorders>
              <w:top w:val="single" w:sz="4" w:space="0" w:color="auto"/>
              <w:bottom w:val="single" w:sz="4" w:space="0" w:color="auto"/>
            </w:tcBorders>
            <w:shd w:val="clear" w:color="000000" w:fill="F2F2F2"/>
            <w:vAlign w:val="center"/>
            <w:hideMark/>
          </w:tcPr>
          <w:p w:rsidR="00520C76" w:rsidRPr="007F3363" w:rsidRDefault="00520C76" w:rsidP="009A3161">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Meta Atuarial (IPCA</w:t>
            </w:r>
            <w:r w:rsidR="009A3161" w:rsidRPr="007F3363">
              <w:rPr>
                <w:rFonts w:asciiTheme="minorHAnsi" w:eastAsia="Times New Roman" w:hAnsiTheme="minorHAnsi" w:cs="Times New Roman"/>
                <w:b/>
                <w:bCs/>
                <w:lang w:eastAsia="en-US"/>
              </w:rPr>
              <w:t>/INPC + 6,00</w:t>
            </w:r>
            <w:r w:rsidRPr="007F3363">
              <w:rPr>
                <w:rFonts w:asciiTheme="minorHAnsi" w:eastAsia="Times New Roman" w:hAnsiTheme="minorHAnsi" w:cs="Times New Roman"/>
                <w:b/>
                <w:bCs/>
                <w:lang w:eastAsia="en-US"/>
              </w:rPr>
              <w:t>% a.a.)</w:t>
            </w:r>
          </w:p>
        </w:tc>
      </w:tr>
      <w:tr w:rsidR="00520C76" w:rsidRPr="007F3363" w:rsidTr="00E632FE">
        <w:trPr>
          <w:trHeight w:val="300"/>
        </w:trPr>
        <w:tc>
          <w:tcPr>
            <w:tcW w:w="3220" w:type="dxa"/>
            <w:tcBorders>
              <w:top w:val="single" w:sz="4" w:space="0" w:color="auto"/>
            </w:tcBorders>
            <w:shd w:val="clear" w:color="auto" w:fill="auto"/>
            <w:noWrap/>
            <w:vAlign w:val="bottom"/>
            <w:hideMark/>
          </w:tcPr>
          <w:p w:rsidR="00520C76" w:rsidRPr="007F3363" w:rsidRDefault="00520C76" w:rsidP="00CD207C">
            <w:pPr>
              <w:spacing w:after="0"/>
              <w:jc w:val="left"/>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Expec</w:t>
            </w:r>
            <w:r w:rsidR="005C7DCB" w:rsidRPr="007F3363">
              <w:rPr>
                <w:rFonts w:asciiTheme="minorHAnsi" w:eastAsia="Times New Roman" w:hAnsiTheme="minorHAnsi" w:cs="Times New Roman"/>
                <w:lang w:eastAsia="en-US"/>
              </w:rPr>
              <w:t>ta</w:t>
            </w:r>
            <w:r w:rsidRPr="007F3363">
              <w:rPr>
                <w:rFonts w:asciiTheme="minorHAnsi" w:eastAsia="Times New Roman" w:hAnsiTheme="minorHAnsi" w:cs="Times New Roman"/>
                <w:lang w:eastAsia="en-US"/>
              </w:rPr>
              <w:t xml:space="preserve">tiva IPCA </w:t>
            </w:r>
            <w:r w:rsidR="005516DB" w:rsidRPr="007F3363">
              <w:rPr>
                <w:rFonts w:asciiTheme="minorHAnsi" w:eastAsia="Times New Roman" w:hAnsiTheme="minorHAnsi" w:cs="Times New Roman"/>
                <w:lang w:eastAsia="en-US"/>
              </w:rPr>
              <w:t>2018</w:t>
            </w:r>
          </w:p>
        </w:tc>
        <w:tc>
          <w:tcPr>
            <w:tcW w:w="3387" w:type="dxa"/>
            <w:tcBorders>
              <w:top w:val="single" w:sz="4" w:space="0" w:color="auto"/>
            </w:tcBorders>
            <w:shd w:val="clear" w:color="auto" w:fill="auto"/>
            <w:noWrap/>
            <w:vAlign w:val="bottom"/>
            <w:hideMark/>
          </w:tcPr>
          <w:p w:rsidR="00520C76" w:rsidRPr="007F3363" w:rsidRDefault="001C0EF6"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4</w:t>
            </w:r>
            <w:r w:rsidR="004F7A1A" w:rsidRPr="007F3363">
              <w:rPr>
                <w:rFonts w:asciiTheme="minorHAnsi" w:eastAsia="Times New Roman" w:hAnsiTheme="minorHAnsi" w:cs="Times New Roman"/>
                <w:lang w:eastAsia="en-US"/>
              </w:rPr>
              <w:t>,</w:t>
            </w:r>
            <w:r w:rsidR="00403AA7" w:rsidRPr="007F3363">
              <w:rPr>
                <w:rFonts w:asciiTheme="minorHAnsi" w:eastAsia="Times New Roman" w:hAnsiTheme="minorHAnsi" w:cs="Times New Roman"/>
                <w:lang w:eastAsia="en-US"/>
              </w:rPr>
              <w:t>17</w:t>
            </w:r>
            <w:r w:rsidR="00520C76" w:rsidRPr="007F3363">
              <w:rPr>
                <w:rFonts w:asciiTheme="minorHAnsi" w:eastAsia="Times New Roman" w:hAnsiTheme="minorHAnsi" w:cs="Times New Roman"/>
                <w:lang w:eastAsia="en-US"/>
              </w:rPr>
              <w:t>%</w:t>
            </w:r>
          </w:p>
        </w:tc>
        <w:tc>
          <w:tcPr>
            <w:tcW w:w="3520" w:type="dxa"/>
            <w:tcBorders>
              <w:top w:val="single" w:sz="4" w:space="0" w:color="auto"/>
            </w:tcBorders>
            <w:shd w:val="clear" w:color="auto" w:fill="auto"/>
            <w:noWrap/>
            <w:vAlign w:val="bottom"/>
            <w:hideMark/>
          </w:tcPr>
          <w:p w:rsidR="00520C76" w:rsidRPr="007F3363" w:rsidRDefault="001C0EF6" w:rsidP="009A3161">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10</w:t>
            </w:r>
            <w:r w:rsidR="009A3161" w:rsidRPr="007F3363">
              <w:rPr>
                <w:rFonts w:asciiTheme="minorHAnsi" w:eastAsia="Times New Roman" w:hAnsiTheme="minorHAnsi" w:cs="Times New Roman"/>
                <w:lang w:eastAsia="en-US"/>
              </w:rPr>
              <w:t>,</w:t>
            </w:r>
            <w:r w:rsidRPr="007F3363">
              <w:rPr>
                <w:rFonts w:asciiTheme="minorHAnsi" w:eastAsia="Times New Roman" w:hAnsiTheme="minorHAnsi" w:cs="Times New Roman"/>
                <w:lang w:eastAsia="en-US"/>
              </w:rPr>
              <w:t>1</w:t>
            </w:r>
            <w:r w:rsidR="00403AA7" w:rsidRPr="007F3363">
              <w:rPr>
                <w:rFonts w:asciiTheme="minorHAnsi" w:eastAsia="Times New Roman" w:hAnsiTheme="minorHAnsi" w:cs="Times New Roman"/>
                <w:lang w:eastAsia="en-US"/>
              </w:rPr>
              <w:t>7</w:t>
            </w:r>
            <w:r w:rsidR="00520C76" w:rsidRPr="007F3363">
              <w:rPr>
                <w:rFonts w:asciiTheme="minorHAnsi" w:eastAsia="Times New Roman" w:hAnsiTheme="minorHAnsi" w:cs="Times New Roman"/>
                <w:lang w:eastAsia="en-US"/>
              </w:rPr>
              <w:t>%</w:t>
            </w:r>
          </w:p>
        </w:tc>
      </w:tr>
      <w:tr w:rsidR="0014270C" w:rsidRPr="007F3363" w:rsidTr="00E632FE">
        <w:trPr>
          <w:trHeight w:val="300"/>
        </w:trPr>
        <w:tc>
          <w:tcPr>
            <w:tcW w:w="3220" w:type="dxa"/>
            <w:shd w:val="clear" w:color="auto" w:fill="auto"/>
            <w:noWrap/>
            <w:vAlign w:val="bottom"/>
            <w:hideMark/>
          </w:tcPr>
          <w:p w:rsidR="0014270C" w:rsidRPr="007F3363" w:rsidRDefault="0014270C" w:rsidP="00CD207C">
            <w:pPr>
              <w:spacing w:after="0"/>
              <w:jc w:val="left"/>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Expectativa INPC 2018</w:t>
            </w:r>
          </w:p>
        </w:tc>
        <w:tc>
          <w:tcPr>
            <w:tcW w:w="3387" w:type="dxa"/>
            <w:shd w:val="clear" w:color="auto" w:fill="auto"/>
            <w:noWrap/>
            <w:vAlign w:val="bottom"/>
            <w:hideMark/>
          </w:tcPr>
          <w:p w:rsidR="0014270C" w:rsidRPr="007F3363" w:rsidRDefault="001C0EF6"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4</w:t>
            </w:r>
            <w:r w:rsidR="0014270C" w:rsidRPr="007F3363">
              <w:rPr>
                <w:rFonts w:asciiTheme="minorHAnsi" w:eastAsia="Times New Roman" w:hAnsiTheme="minorHAnsi" w:cs="Times New Roman"/>
                <w:lang w:eastAsia="en-US"/>
              </w:rPr>
              <w:t>,</w:t>
            </w:r>
            <w:r w:rsidR="00C436FB" w:rsidRPr="007F3363">
              <w:rPr>
                <w:rFonts w:asciiTheme="minorHAnsi" w:eastAsia="Times New Roman" w:hAnsiTheme="minorHAnsi" w:cs="Times New Roman"/>
                <w:lang w:eastAsia="en-US"/>
              </w:rPr>
              <w:t>13</w:t>
            </w:r>
            <w:r w:rsidR="000940DE" w:rsidRPr="007F3363">
              <w:rPr>
                <w:rFonts w:asciiTheme="minorHAnsi" w:eastAsia="Times New Roman" w:hAnsiTheme="minorHAnsi" w:cs="Times New Roman"/>
                <w:lang w:eastAsia="en-US"/>
              </w:rPr>
              <w:t>%</w:t>
            </w:r>
          </w:p>
        </w:tc>
        <w:tc>
          <w:tcPr>
            <w:tcW w:w="3520" w:type="dxa"/>
            <w:shd w:val="clear" w:color="auto" w:fill="auto"/>
            <w:noWrap/>
            <w:vAlign w:val="bottom"/>
            <w:hideMark/>
          </w:tcPr>
          <w:p w:rsidR="0014270C" w:rsidRPr="007F3363" w:rsidRDefault="001C0EF6"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10</w:t>
            </w:r>
            <w:r w:rsidR="00C436FB" w:rsidRPr="007F3363">
              <w:rPr>
                <w:rFonts w:asciiTheme="minorHAnsi" w:eastAsia="Times New Roman" w:hAnsiTheme="minorHAnsi" w:cs="Times New Roman"/>
                <w:lang w:eastAsia="en-US"/>
              </w:rPr>
              <w:t>,</w:t>
            </w:r>
            <w:r w:rsidRPr="007F3363">
              <w:rPr>
                <w:rFonts w:asciiTheme="minorHAnsi" w:eastAsia="Times New Roman" w:hAnsiTheme="minorHAnsi" w:cs="Times New Roman"/>
                <w:lang w:eastAsia="en-US"/>
              </w:rPr>
              <w:t>1</w:t>
            </w:r>
            <w:r w:rsidR="00C436FB" w:rsidRPr="007F3363">
              <w:rPr>
                <w:rFonts w:asciiTheme="minorHAnsi" w:eastAsia="Times New Roman" w:hAnsiTheme="minorHAnsi" w:cs="Times New Roman"/>
                <w:lang w:eastAsia="en-US"/>
              </w:rPr>
              <w:t>3</w:t>
            </w:r>
            <w:r w:rsidR="0014270C" w:rsidRPr="007F3363">
              <w:rPr>
                <w:rFonts w:asciiTheme="minorHAnsi" w:eastAsia="Times New Roman" w:hAnsiTheme="minorHAnsi" w:cs="Times New Roman"/>
                <w:lang w:eastAsia="en-US"/>
              </w:rPr>
              <w:t>%</w:t>
            </w:r>
          </w:p>
        </w:tc>
      </w:tr>
      <w:tr w:rsidR="00520C76" w:rsidRPr="007F3363" w:rsidTr="00E632FE">
        <w:trPr>
          <w:trHeight w:val="300"/>
        </w:trPr>
        <w:tc>
          <w:tcPr>
            <w:tcW w:w="3220" w:type="dxa"/>
            <w:shd w:val="clear" w:color="auto" w:fill="auto"/>
            <w:noWrap/>
            <w:vAlign w:val="bottom"/>
            <w:hideMark/>
          </w:tcPr>
          <w:p w:rsidR="00520C76" w:rsidRPr="007F3363" w:rsidRDefault="004F7A1A" w:rsidP="00CD207C">
            <w:pPr>
              <w:spacing w:after="0"/>
              <w:jc w:val="left"/>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Meta Selic 2018</w:t>
            </w:r>
          </w:p>
        </w:tc>
        <w:tc>
          <w:tcPr>
            <w:tcW w:w="3387" w:type="dxa"/>
            <w:shd w:val="clear" w:color="auto" w:fill="auto"/>
            <w:noWrap/>
            <w:vAlign w:val="bottom"/>
            <w:hideMark/>
          </w:tcPr>
          <w:p w:rsidR="00520C76" w:rsidRPr="007F3363" w:rsidRDefault="00CF5257"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8</w:t>
            </w:r>
            <w:r w:rsidR="00A66AFA" w:rsidRPr="007F3363">
              <w:rPr>
                <w:rFonts w:asciiTheme="minorHAnsi" w:eastAsia="Times New Roman" w:hAnsiTheme="minorHAnsi" w:cs="Times New Roman"/>
                <w:lang w:eastAsia="en-US"/>
              </w:rPr>
              <w:t>,00%</w:t>
            </w:r>
          </w:p>
        </w:tc>
        <w:tc>
          <w:tcPr>
            <w:tcW w:w="3520" w:type="dxa"/>
            <w:shd w:val="clear" w:color="auto" w:fill="auto"/>
            <w:noWrap/>
            <w:vAlign w:val="bottom"/>
            <w:hideMark/>
          </w:tcPr>
          <w:p w:rsidR="00520C76" w:rsidRPr="007F3363" w:rsidRDefault="00520C76" w:rsidP="00CD207C">
            <w:pPr>
              <w:spacing w:after="0"/>
              <w:jc w:val="center"/>
              <w:rPr>
                <w:rFonts w:asciiTheme="minorHAnsi" w:eastAsia="Times New Roman" w:hAnsiTheme="minorHAnsi" w:cs="Times New Roman"/>
                <w:lang w:eastAsia="en-US"/>
              </w:rPr>
            </w:pPr>
          </w:p>
        </w:tc>
      </w:tr>
      <w:tr w:rsidR="00520C76" w:rsidRPr="007F3363" w:rsidTr="00E632FE">
        <w:trPr>
          <w:trHeight w:val="300"/>
        </w:trPr>
        <w:tc>
          <w:tcPr>
            <w:tcW w:w="6607" w:type="dxa"/>
            <w:gridSpan w:val="2"/>
            <w:shd w:val="clear" w:color="auto" w:fill="auto"/>
            <w:noWrap/>
            <w:vAlign w:val="bottom"/>
            <w:hideMark/>
          </w:tcPr>
          <w:p w:rsidR="00520C76" w:rsidRPr="007F3363" w:rsidRDefault="00347677" w:rsidP="00CD207C">
            <w:pPr>
              <w:spacing w:after="0"/>
              <w:jc w:val="left"/>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 xml:space="preserve">* Relatório Focus de </w:t>
            </w:r>
            <w:r w:rsidR="001343FA" w:rsidRPr="007F3363">
              <w:rPr>
                <w:rFonts w:asciiTheme="minorHAnsi" w:eastAsia="Times New Roman" w:hAnsiTheme="minorHAnsi" w:cs="Times New Roman"/>
                <w:lang w:eastAsia="en-US"/>
              </w:rPr>
              <w:t>06</w:t>
            </w:r>
            <w:r w:rsidR="00520C76" w:rsidRPr="007F3363">
              <w:rPr>
                <w:rFonts w:asciiTheme="minorHAnsi" w:eastAsia="Times New Roman" w:hAnsiTheme="minorHAnsi" w:cs="Times New Roman"/>
                <w:lang w:eastAsia="en-US"/>
              </w:rPr>
              <w:t>/</w:t>
            </w:r>
            <w:r w:rsidR="009A3161" w:rsidRPr="007F3363">
              <w:rPr>
                <w:rFonts w:asciiTheme="minorHAnsi" w:eastAsia="Times New Roman" w:hAnsiTheme="minorHAnsi" w:cs="Times New Roman"/>
                <w:lang w:eastAsia="en-US"/>
              </w:rPr>
              <w:t>09</w:t>
            </w:r>
            <w:r w:rsidR="004F7A1A" w:rsidRPr="007F3363">
              <w:rPr>
                <w:rFonts w:asciiTheme="minorHAnsi" w:eastAsia="Times New Roman" w:hAnsiTheme="minorHAnsi" w:cs="Times New Roman"/>
                <w:lang w:eastAsia="en-US"/>
              </w:rPr>
              <w:t>/</w:t>
            </w:r>
            <w:r w:rsidR="001343FA" w:rsidRPr="007F3363">
              <w:rPr>
                <w:rFonts w:asciiTheme="minorHAnsi" w:eastAsia="Times New Roman" w:hAnsiTheme="minorHAnsi" w:cs="Times New Roman"/>
                <w:lang w:eastAsia="en-US"/>
              </w:rPr>
              <w:t>18</w:t>
            </w:r>
            <w:r w:rsidR="00520C76" w:rsidRPr="007F3363">
              <w:rPr>
                <w:rFonts w:asciiTheme="minorHAnsi" w:eastAsia="Times New Roman" w:hAnsiTheme="minorHAnsi" w:cs="Times New Roman"/>
                <w:lang w:eastAsia="en-US"/>
              </w:rPr>
              <w:t xml:space="preserve"> - Mediana Top 5.</w:t>
            </w:r>
            <w:r w:rsidR="0014270C" w:rsidRPr="007F3363">
              <w:rPr>
                <w:rFonts w:asciiTheme="minorHAnsi" w:eastAsia="Times New Roman" w:hAnsiTheme="minorHAnsi" w:cs="Times New Roman"/>
                <w:lang w:eastAsia="en-US"/>
              </w:rPr>
              <w:t xml:space="preserve"> (IPCA) e Sistema de Expectativa de Mercado para INPC (Banco Central)</w:t>
            </w:r>
          </w:p>
        </w:tc>
        <w:tc>
          <w:tcPr>
            <w:tcW w:w="3520" w:type="dxa"/>
            <w:shd w:val="clear" w:color="auto" w:fill="auto"/>
            <w:noWrap/>
            <w:vAlign w:val="bottom"/>
            <w:hideMark/>
          </w:tcPr>
          <w:p w:rsidR="00520C76" w:rsidRPr="007F3363" w:rsidRDefault="00520C76" w:rsidP="00CD207C">
            <w:pPr>
              <w:spacing w:after="0"/>
              <w:jc w:val="center"/>
              <w:rPr>
                <w:rFonts w:asciiTheme="minorHAnsi" w:eastAsia="Times New Roman" w:hAnsiTheme="minorHAnsi" w:cs="Times New Roman"/>
                <w:lang w:eastAsia="en-US"/>
              </w:rPr>
            </w:pPr>
          </w:p>
        </w:tc>
      </w:tr>
      <w:tr w:rsidR="00520C76" w:rsidRPr="007F3363" w:rsidTr="00E632FE">
        <w:trPr>
          <w:trHeight w:val="300"/>
        </w:trPr>
        <w:tc>
          <w:tcPr>
            <w:tcW w:w="3220" w:type="dxa"/>
            <w:shd w:val="clear" w:color="auto" w:fill="auto"/>
            <w:noWrap/>
            <w:vAlign w:val="bottom"/>
            <w:hideMark/>
          </w:tcPr>
          <w:p w:rsidR="00520C76" w:rsidRPr="007F3363" w:rsidRDefault="00520C76" w:rsidP="00CD207C">
            <w:pPr>
              <w:spacing w:after="0"/>
              <w:jc w:val="left"/>
              <w:rPr>
                <w:rFonts w:asciiTheme="minorHAnsi" w:eastAsia="Times New Roman" w:hAnsiTheme="minorHAnsi" w:cs="Times New Roman"/>
                <w:lang w:eastAsia="en-US"/>
              </w:rPr>
            </w:pPr>
          </w:p>
        </w:tc>
        <w:tc>
          <w:tcPr>
            <w:tcW w:w="3387" w:type="dxa"/>
            <w:shd w:val="clear" w:color="auto" w:fill="auto"/>
            <w:noWrap/>
            <w:vAlign w:val="bottom"/>
            <w:hideMark/>
          </w:tcPr>
          <w:p w:rsidR="00520C76" w:rsidRPr="007F3363" w:rsidRDefault="00520C76" w:rsidP="00CD207C">
            <w:pPr>
              <w:spacing w:after="0"/>
              <w:jc w:val="left"/>
              <w:rPr>
                <w:rFonts w:asciiTheme="minorHAnsi" w:eastAsia="Times New Roman" w:hAnsiTheme="minorHAnsi" w:cs="Times New Roman"/>
                <w:lang w:eastAsia="en-US"/>
              </w:rPr>
            </w:pPr>
          </w:p>
        </w:tc>
        <w:tc>
          <w:tcPr>
            <w:tcW w:w="3520" w:type="dxa"/>
            <w:shd w:val="clear" w:color="auto" w:fill="auto"/>
            <w:noWrap/>
            <w:vAlign w:val="bottom"/>
            <w:hideMark/>
          </w:tcPr>
          <w:p w:rsidR="00520C76" w:rsidRPr="007F3363" w:rsidRDefault="00520C76" w:rsidP="00CD207C">
            <w:pPr>
              <w:spacing w:after="0"/>
              <w:jc w:val="left"/>
              <w:rPr>
                <w:rFonts w:asciiTheme="minorHAnsi" w:eastAsia="Times New Roman" w:hAnsiTheme="minorHAnsi" w:cs="Times New Roman"/>
                <w:lang w:eastAsia="en-US"/>
              </w:rPr>
            </w:pPr>
          </w:p>
        </w:tc>
      </w:tr>
    </w:tbl>
    <w:p w:rsidR="00262AC4" w:rsidRPr="007F3363" w:rsidRDefault="00262AC4" w:rsidP="00CD207C">
      <w:pPr>
        <w:rPr>
          <w:rFonts w:asciiTheme="minorHAnsi" w:hAnsiTheme="minorHAnsi"/>
        </w:rPr>
      </w:pPr>
      <w:bookmarkStart w:id="7" w:name="_Toc279733296"/>
      <w:r w:rsidRPr="007F3363">
        <w:rPr>
          <w:rFonts w:asciiTheme="minorHAnsi" w:hAnsiTheme="minorHAnsi"/>
        </w:rPr>
        <w:tab/>
      </w:r>
    </w:p>
    <w:p w:rsidR="00C539C8" w:rsidRPr="007F3363" w:rsidRDefault="00C539C8" w:rsidP="00CD207C">
      <w:pPr>
        <w:pStyle w:val="Ttulo2"/>
        <w:rPr>
          <w:rFonts w:asciiTheme="minorHAnsi" w:hAnsiTheme="minorHAnsi"/>
          <w:color w:val="auto"/>
          <w:sz w:val="24"/>
          <w:szCs w:val="24"/>
        </w:rPr>
      </w:pPr>
      <w:bookmarkStart w:id="8" w:name="_Toc494961900"/>
      <w:r w:rsidRPr="007F3363">
        <w:rPr>
          <w:rFonts w:asciiTheme="minorHAnsi" w:hAnsiTheme="minorHAnsi"/>
          <w:color w:val="auto"/>
          <w:sz w:val="24"/>
          <w:szCs w:val="24"/>
        </w:rPr>
        <w:t>Perfil do F</w:t>
      </w:r>
      <w:bookmarkEnd w:id="7"/>
      <w:r w:rsidR="002E75F1" w:rsidRPr="007F3363">
        <w:rPr>
          <w:rFonts w:asciiTheme="minorHAnsi" w:hAnsiTheme="minorHAnsi"/>
          <w:color w:val="auto"/>
          <w:sz w:val="24"/>
          <w:szCs w:val="24"/>
        </w:rPr>
        <w:t>undo</w:t>
      </w:r>
      <w:bookmarkEnd w:id="8"/>
    </w:p>
    <w:p w:rsidR="00891994" w:rsidRPr="007F3363" w:rsidRDefault="00C539C8" w:rsidP="00CD207C">
      <w:pPr>
        <w:ind w:firstLine="720"/>
        <w:rPr>
          <w:rFonts w:asciiTheme="minorHAnsi" w:hAnsiTheme="minorHAnsi"/>
        </w:rPr>
      </w:pPr>
      <w:r w:rsidRPr="007F3363">
        <w:rPr>
          <w:rFonts w:asciiTheme="minorHAnsi" w:hAnsiTheme="minorHAnsi"/>
        </w:rPr>
        <w:t xml:space="preserve">Os dados abaixo foram retirados do </w:t>
      </w:r>
      <w:r w:rsidR="00802BA6" w:rsidRPr="007F3363">
        <w:rPr>
          <w:rFonts w:asciiTheme="minorHAnsi" w:hAnsiTheme="minorHAnsi"/>
        </w:rPr>
        <w:t>Demonstrativo de Resultados da Avaliação Atuarial - DRAA</w:t>
      </w:r>
      <w:r w:rsidRPr="007F3363">
        <w:rPr>
          <w:rFonts w:asciiTheme="minorHAnsi" w:hAnsiTheme="minorHAnsi"/>
        </w:rPr>
        <w:t xml:space="preserve"> do exercício de 201</w:t>
      </w:r>
      <w:r w:rsidR="00724293" w:rsidRPr="007F3363">
        <w:rPr>
          <w:rFonts w:asciiTheme="minorHAnsi" w:hAnsiTheme="minorHAnsi"/>
        </w:rPr>
        <w:t>8</w:t>
      </w:r>
      <w:r w:rsidRPr="007F3363">
        <w:rPr>
          <w:rFonts w:asciiTheme="minorHAnsi" w:hAnsiTheme="minorHAnsi"/>
        </w:rPr>
        <w:t xml:space="preserve">, </w:t>
      </w:r>
      <w:r w:rsidR="0014270C" w:rsidRPr="007F3363">
        <w:rPr>
          <w:rFonts w:asciiTheme="minorHAnsi" w:hAnsiTheme="minorHAnsi"/>
        </w:rPr>
        <w:t xml:space="preserve">elaborado em </w:t>
      </w:r>
      <w:r w:rsidR="00592EFE" w:rsidRPr="007F3363">
        <w:rPr>
          <w:rFonts w:asciiTheme="minorHAnsi" w:hAnsiTheme="minorHAnsi"/>
        </w:rPr>
        <w:t>11</w:t>
      </w:r>
      <w:r w:rsidR="00BC7DF5" w:rsidRPr="007F3363">
        <w:rPr>
          <w:rFonts w:asciiTheme="minorHAnsi" w:hAnsiTheme="minorHAnsi"/>
        </w:rPr>
        <w:t>/0</w:t>
      </w:r>
      <w:r w:rsidR="00592EFE" w:rsidRPr="007F3363">
        <w:rPr>
          <w:rFonts w:asciiTheme="minorHAnsi" w:hAnsiTheme="minorHAnsi"/>
        </w:rPr>
        <w:t>3</w:t>
      </w:r>
      <w:r w:rsidR="00BC7DF5" w:rsidRPr="007F3363">
        <w:rPr>
          <w:rFonts w:asciiTheme="minorHAnsi" w:hAnsiTheme="minorHAnsi"/>
        </w:rPr>
        <w:t>/201</w:t>
      </w:r>
      <w:r w:rsidR="00724293" w:rsidRPr="007F3363">
        <w:rPr>
          <w:rFonts w:asciiTheme="minorHAnsi" w:hAnsiTheme="minorHAnsi"/>
        </w:rPr>
        <w:t>8</w:t>
      </w:r>
      <w:r w:rsidR="0014270C" w:rsidRPr="007F3363">
        <w:rPr>
          <w:rFonts w:asciiTheme="minorHAnsi" w:hAnsiTheme="minorHAnsi"/>
        </w:rPr>
        <w:t xml:space="preserve">. </w:t>
      </w:r>
    </w:p>
    <w:p w:rsidR="00B033F4" w:rsidRPr="007F3363" w:rsidRDefault="00B033F4" w:rsidP="00CD207C">
      <w:pPr>
        <w:ind w:firstLine="720"/>
        <w:rPr>
          <w:rFonts w:asciiTheme="minorHAnsi" w:hAnsiTheme="minorHAnsi"/>
        </w:rPr>
      </w:pPr>
    </w:p>
    <w:p w:rsidR="00B033F4" w:rsidRPr="007F3363" w:rsidRDefault="00B033F4" w:rsidP="00CD207C">
      <w:pPr>
        <w:ind w:firstLine="720"/>
        <w:rPr>
          <w:rFonts w:asciiTheme="minorHAnsi" w:hAnsiTheme="minorHAnsi"/>
        </w:rPr>
      </w:pPr>
    </w:p>
    <w:p w:rsidR="00B033F4" w:rsidRPr="007F3363" w:rsidRDefault="00B033F4" w:rsidP="00CD207C">
      <w:pPr>
        <w:ind w:firstLine="720"/>
        <w:rPr>
          <w:rFonts w:asciiTheme="minorHAnsi" w:hAnsiTheme="minorHAnsi"/>
        </w:rPr>
      </w:pPr>
    </w:p>
    <w:tbl>
      <w:tblPr>
        <w:tblW w:w="10046" w:type="dxa"/>
        <w:tblInd w:w="93" w:type="dxa"/>
        <w:tblLayout w:type="fixed"/>
        <w:tblLook w:val="04A0" w:firstRow="1" w:lastRow="0" w:firstColumn="1" w:lastColumn="0" w:noHBand="0" w:noVBand="1"/>
      </w:tblPr>
      <w:tblGrid>
        <w:gridCol w:w="3701"/>
        <w:gridCol w:w="2760"/>
        <w:gridCol w:w="3585"/>
      </w:tblGrid>
      <w:tr w:rsidR="00C034E2" w:rsidRPr="007F3363" w:rsidTr="00C034E2">
        <w:trPr>
          <w:trHeight w:val="300"/>
        </w:trPr>
        <w:tc>
          <w:tcPr>
            <w:tcW w:w="3701" w:type="dxa"/>
            <w:tcBorders>
              <w:top w:val="nil"/>
              <w:left w:val="nil"/>
              <w:bottom w:val="nil"/>
              <w:right w:val="nil"/>
            </w:tcBorders>
            <w:shd w:val="clear" w:color="auto" w:fill="auto"/>
            <w:noWrap/>
            <w:vAlign w:val="bottom"/>
            <w:hideMark/>
          </w:tcPr>
          <w:p w:rsidR="00C034E2" w:rsidRPr="007F3363" w:rsidRDefault="00C034E2" w:rsidP="00BC7DF5">
            <w:pPr>
              <w:spacing w:after="0"/>
              <w:jc w:val="left"/>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lastRenderedPageBreak/>
              <w:t>Plano Previdenciário:</w:t>
            </w:r>
            <w:r w:rsidR="00BC7DF5" w:rsidRPr="007F3363">
              <w:rPr>
                <w:rFonts w:asciiTheme="minorHAnsi" w:eastAsia="Times New Roman" w:hAnsiTheme="minorHAnsi" w:cs="Times New Roman"/>
                <w:b/>
                <w:bCs/>
                <w:lang w:eastAsia="en-US"/>
              </w:rPr>
              <w:t xml:space="preserve"> </w:t>
            </w:r>
          </w:p>
        </w:tc>
        <w:tc>
          <w:tcPr>
            <w:tcW w:w="2760" w:type="dxa"/>
            <w:tcBorders>
              <w:top w:val="nil"/>
              <w:left w:val="nil"/>
              <w:bottom w:val="nil"/>
              <w:right w:val="nil"/>
            </w:tcBorders>
            <w:shd w:val="clear" w:color="auto" w:fill="auto"/>
            <w:noWrap/>
            <w:vAlign w:val="bottom"/>
            <w:hideMark/>
          </w:tcPr>
          <w:p w:rsidR="00C034E2" w:rsidRPr="007F3363" w:rsidRDefault="00C034E2" w:rsidP="00CD207C">
            <w:pPr>
              <w:spacing w:after="0"/>
              <w:jc w:val="center"/>
              <w:rPr>
                <w:rFonts w:asciiTheme="minorHAnsi" w:eastAsia="Times New Roman" w:hAnsiTheme="minorHAnsi" w:cs="Times New Roman"/>
                <w:lang w:eastAsia="en-US"/>
              </w:rPr>
            </w:pPr>
          </w:p>
        </w:tc>
        <w:tc>
          <w:tcPr>
            <w:tcW w:w="3585" w:type="dxa"/>
            <w:tcBorders>
              <w:top w:val="nil"/>
              <w:left w:val="nil"/>
              <w:bottom w:val="nil"/>
              <w:right w:val="nil"/>
            </w:tcBorders>
            <w:shd w:val="clear" w:color="auto" w:fill="auto"/>
            <w:noWrap/>
            <w:vAlign w:val="bottom"/>
            <w:hideMark/>
          </w:tcPr>
          <w:p w:rsidR="00C034E2" w:rsidRPr="007F3363" w:rsidRDefault="00C034E2" w:rsidP="00CD207C">
            <w:pPr>
              <w:spacing w:after="0"/>
              <w:jc w:val="center"/>
              <w:rPr>
                <w:rFonts w:asciiTheme="minorHAnsi" w:eastAsia="Times New Roman" w:hAnsiTheme="minorHAnsi" w:cs="Times New Roman"/>
                <w:lang w:eastAsia="en-US"/>
              </w:rPr>
            </w:pPr>
          </w:p>
        </w:tc>
      </w:tr>
      <w:tr w:rsidR="00C034E2" w:rsidRPr="007F3363" w:rsidTr="00C034E2">
        <w:trPr>
          <w:trHeight w:val="300"/>
        </w:trPr>
        <w:tc>
          <w:tcPr>
            <w:tcW w:w="3701" w:type="dxa"/>
            <w:tcBorders>
              <w:top w:val="single" w:sz="4" w:space="0" w:color="auto"/>
              <w:left w:val="nil"/>
              <w:bottom w:val="nil"/>
              <w:right w:val="nil"/>
            </w:tcBorders>
            <w:shd w:val="clear" w:color="000000" w:fill="F2F2F2"/>
            <w:noWrap/>
            <w:vAlign w:val="bottom"/>
            <w:hideMark/>
          </w:tcPr>
          <w:p w:rsidR="00C034E2" w:rsidRPr="007F3363" w:rsidRDefault="00C034E2" w:rsidP="00CD207C">
            <w:pPr>
              <w:spacing w:after="0"/>
              <w:jc w:val="left"/>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 </w:t>
            </w:r>
          </w:p>
        </w:tc>
        <w:tc>
          <w:tcPr>
            <w:tcW w:w="2760" w:type="dxa"/>
            <w:tcBorders>
              <w:top w:val="single" w:sz="4" w:space="0" w:color="auto"/>
              <w:left w:val="nil"/>
              <w:bottom w:val="nil"/>
              <w:right w:val="nil"/>
            </w:tcBorders>
            <w:shd w:val="clear" w:color="000000" w:fill="F2F2F2"/>
            <w:noWrap/>
            <w:vAlign w:val="bottom"/>
            <w:hideMark/>
          </w:tcPr>
          <w:p w:rsidR="00C034E2" w:rsidRPr="007F3363" w:rsidRDefault="00C034E2" w:rsidP="00CD207C">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Situação Atuarial</w:t>
            </w:r>
          </w:p>
        </w:tc>
        <w:tc>
          <w:tcPr>
            <w:tcW w:w="3585" w:type="dxa"/>
            <w:tcBorders>
              <w:top w:val="single" w:sz="4" w:space="0" w:color="auto"/>
              <w:left w:val="nil"/>
              <w:bottom w:val="nil"/>
              <w:right w:val="nil"/>
            </w:tcBorders>
            <w:shd w:val="clear" w:color="000000" w:fill="F2F2F2"/>
            <w:noWrap/>
            <w:vAlign w:val="bottom"/>
            <w:hideMark/>
          </w:tcPr>
          <w:p w:rsidR="00C034E2" w:rsidRPr="007F3363" w:rsidRDefault="00C034E2" w:rsidP="00CD207C">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Situação Avaliação Atuarial</w:t>
            </w:r>
          </w:p>
        </w:tc>
      </w:tr>
      <w:tr w:rsidR="00C034E2" w:rsidRPr="007F3363" w:rsidTr="00C034E2">
        <w:trPr>
          <w:trHeight w:val="300"/>
        </w:trPr>
        <w:tc>
          <w:tcPr>
            <w:tcW w:w="3701" w:type="dxa"/>
            <w:tcBorders>
              <w:top w:val="nil"/>
              <w:left w:val="nil"/>
              <w:bottom w:val="single" w:sz="4" w:space="0" w:color="auto"/>
              <w:right w:val="nil"/>
            </w:tcBorders>
            <w:shd w:val="clear" w:color="000000" w:fill="F2F2F2"/>
            <w:noWrap/>
            <w:vAlign w:val="bottom"/>
            <w:hideMark/>
          </w:tcPr>
          <w:p w:rsidR="00C034E2" w:rsidRPr="007F3363" w:rsidRDefault="00C034E2" w:rsidP="00CD207C">
            <w:pPr>
              <w:spacing w:after="0"/>
              <w:jc w:val="left"/>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 </w:t>
            </w:r>
          </w:p>
        </w:tc>
        <w:tc>
          <w:tcPr>
            <w:tcW w:w="2760" w:type="dxa"/>
            <w:tcBorders>
              <w:top w:val="nil"/>
              <w:left w:val="nil"/>
              <w:bottom w:val="single" w:sz="4" w:space="0" w:color="auto"/>
              <w:right w:val="nil"/>
            </w:tcBorders>
            <w:shd w:val="clear" w:color="000000" w:fill="F2F2F2"/>
            <w:noWrap/>
            <w:vAlign w:val="bottom"/>
            <w:hideMark/>
          </w:tcPr>
          <w:p w:rsidR="00C034E2" w:rsidRPr="007F3363" w:rsidRDefault="00C034E2" w:rsidP="00CD207C">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Alíquota (%)</w:t>
            </w:r>
          </w:p>
        </w:tc>
        <w:tc>
          <w:tcPr>
            <w:tcW w:w="3585" w:type="dxa"/>
            <w:tcBorders>
              <w:top w:val="nil"/>
              <w:left w:val="nil"/>
              <w:bottom w:val="single" w:sz="4" w:space="0" w:color="auto"/>
              <w:right w:val="nil"/>
            </w:tcBorders>
            <w:shd w:val="clear" w:color="000000" w:fill="F2F2F2"/>
            <w:noWrap/>
            <w:vAlign w:val="bottom"/>
            <w:hideMark/>
          </w:tcPr>
          <w:p w:rsidR="00C034E2" w:rsidRPr="007F3363" w:rsidRDefault="00C034E2" w:rsidP="00CD207C">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Alíquota (%)</w:t>
            </w:r>
          </w:p>
        </w:tc>
      </w:tr>
      <w:tr w:rsidR="00C034E2" w:rsidRPr="007F3363" w:rsidTr="00C034E2">
        <w:trPr>
          <w:trHeight w:val="300"/>
        </w:trPr>
        <w:tc>
          <w:tcPr>
            <w:tcW w:w="3701" w:type="dxa"/>
            <w:tcBorders>
              <w:top w:val="nil"/>
              <w:left w:val="nil"/>
              <w:bottom w:val="single" w:sz="4" w:space="0" w:color="auto"/>
              <w:right w:val="nil"/>
            </w:tcBorders>
            <w:shd w:val="clear" w:color="auto" w:fill="auto"/>
            <w:noWrap/>
            <w:vAlign w:val="bottom"/>
            <w:hideMark/>
          </w:tcPr>
          <w:p w:rsidR="00C034E2" w:rsidRPr="007F3363" w:rsidRDefault="00C034E2" w:rsidP="00CD207C">
            <w:pPr>
              <w:spacing w:after="0"/>
              <w:jc w:val="left"/>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Ente Federativo</w:t>
            </w:r>
          </w:p>
        </w:tc>
        <w:tc>
          <w:tcPr>
            <w:tcW w:w="2760" w:type="dxa"/>
            <w:tcBorders>
              <w:top w:val="nil"/>
              <w:left w:val="nil"/>
              <w:bottom w:val="single" w:sz="4" w:space="0" w:color="auto"/>
              <w:right w:val="nil"/>
            </w:tcBorders>
            <w:shd w:val="clear" w:color="auto" w:fill="auto"/>
            <w:noWrap/>
            <w:vAlign w:val="bottom"/>
            <w:hideMark/>
          </w:tcPr>
          <w:p w:rsidR="00C034E2" w:rsidRPr="007F3363" w:rsidRDefault="00BC7DF5" w:rsidP="00BC7DF5">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1</w:t>
            </w:r>
            <w:r w:rsidR="00924601" w:rsidRPr="007F3363">
              <w:rPr>
                <w:rFonts w:asciiTheme="minorHAnsi" w:eastAsia="Times New Roman" w:hAnsiTheme="minorHAnsi" w:cs="Times New Roman"/>
                <w:lang w:eastAsia="en-US"/>
              </w:rPr>
              <w:t>5</w:t>
            </w:r>
            <w:r w:rsidRPr="007F3363">
              <w:rPr>
                <w:rFonts w:asciiTheme="minorHAnsi" w:eastAsia="Times New Roman" w:hAnsiTheme="minorHAnsi" w:cs="Times New Roman"/>
                <w:lang w:eastAsia="en-US"/>
              </w:rPr>
              <w:t>,</w:t>
            </w:r>
            <w:r w:rsidR="00924601" w:rsidRPr="007F3363">
              <w:rPr>
                <w:rFonts w:asciiTheme="minorHAnsi" w:eastAsia="Times New Roman" w:hAnsiTheme="minorHAnsi" w:cs="Times New Roman"/>
                <w:lang w:eastAsia="en-US"/>
              </w:rPr>
              <w:t>88</w:t>
            </w:r>
            <w:r w:rsidR="0014270C" w:rsidRPr="007F3363">
              <w:rPr>
                <w:rFonts w:asciiTheme="minorHAnsi" w:eastAsia="Times New Roman" w:hAnsiTheme="minorHAnsi" w:cs="Times New Roman"/>
                <w:lang w:eastAsia="en-US"/>
              </w:rPr>
              <w:t>%</w:t>
            </w:r>
          </w:p>
        </w:tc>
        <w:tc>
          <w:tcPr>
            <w:tcW w:w="3585" w:type="dxa"/>
            <w:tcBorders>
              <w:top w:val="nil"/>
              <w:left w:val="nil"/>
              <w:bottom w:val="single" w:sz="4" w:space="0" w:color="auto"/>
              <w:right w:val="nil"/>
            </w:tcBorders>
            <w:shd w:val="clear" w:color="auto" w:fill="auto"/>
            <w:noWrap/>
            <w:vAlign w:val="bottom"/>
            <w:hideMark/>
          </w:tcPr>
          <w:p w:rsidR="00C034E2" w:rsidRPr="007F3363" w:rsidRDefault="000839B3" w:rsidP="00BC7DF5">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1</w:t>
            </w:r>
            <w:r w:rsidR="00924601" w:rsidRPr="007F3363">
              <w:rPr>
                <w:rFonts w:asciiTheme="minorHAnsi" w:eastAsia="Times New Roman" w:hAnsiTheme="minorHAnsi" w:cs="Times New Roman"/>
                <w:lang w:eastAsia="en-US"/>
              </w:rPr>
              <w:t>3</w:t>
            </w:r>
            <w:r w:rsidRPr="007F3363">
              <w:rPr>
                <w:rFonts w:asciiTheme="minorHAnsi" w:eastAsia="Times New Roman" w:hAnsiTheme="minorHAnsi" w:cs="Times New Roman"/>
                <w:lang w:eastAsia="en-US"/>
              </w:rPr>
              <w:t>,</w:t>
            </w:r>
            <w:r w:rsidR="00D37777" w:rsidRPr="007F3363">
              <w:rPr>
                <w:rFonts w:asciiTheme="minorHAnsi" w:eastAsia="Times New Roman" w:hAnsiTheme="minorHAnsi" w:cs="Times New Roman"/>
                <w:lang w:eastAsia="en-US"/>
              </w:rPr>
              <w:t>88</w:t>
            </w:r>
          </w:p>
        </w:tc>
      </w:tr>
      <w:tr w:rsidR="00C034E2" w:rsidRPr="007F3363" w:rsidTr="00C034E2">
        <w:trPr>
          <w:trHeight w:val="300"/>
        </w:trPr>
        <w:tc>
          <w:tcPr>
            <w:tcW w:w="3701" w:type="dxa"/>
            <w:tcBorders>
              <w:top w:val="nil"/>
              <w:left w:val="nil"/>
              <w:bottom w:val="single" w:sz="4" w:space="0" w:color="auto"/>
              <w:right w:val="nil"/>
            </w:tcBorders>
            <w:shd w:val="clear" w:color="auto" w:fill="auto"/>
            <w:noWrap/>
            <w:vAlign w:val="bottom"/>
            <w:hideMark/>
          </w:tcPr>
          <w:p w:rsidR="00C034E2" w:rsidRPr="007F3363" w:rsidRDefault="00C034E2" w:rsidP="00CD207C">
            <w:pPr>
              <w:spacing w:after="0"/>
              <w:jc w:val="left"/>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Taxa de Administração</w:t>
            </w:r>
          </w:p>
        </w:tc>
        <w:tc>
          <w:tcPr>
            <w:tcW w:w="2760" w:type="dxa"/>
            <w:tcBorders>
              <w:top w:val="nil"/>
              <w:left w:val="nil"/>
              <w:bottom w:val="single" w:sz="4" w:space="0" w:color="auto"/>
              <w:right w:val="nil"/>
            </w:tcBorders>
            <w:shd w:val="clear" w:color="auto" w:fill="auto"/>
            <w:noWrap/>
            <w:vAlign w:val="bottom"/>
            <w:hideMark/>
          </w:tcPr>
          <w:p w:rsidR="00C034E2" w:rsidRPr="007F3363" w:rsidRDefault="00D37777"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2,00</w:t>
            </w:r>
          </w:p>
        </w:tc>
        <w:tc>
          <w:tcPr>
            <w:tcW w:w="3585" w:type="dxa"/>
            <w:tcBorders>
              <w:top w:val="nil"/>
              <w:left w:val="nil"/>
              <w:bottom w:val="single" w:sz="4" w:space="0" w:color="auto"/>
              <w:right w:val="nil"/>
            </w:tcBorders>
            <w:shd w:val="clear" w:color="auto" w:fill="auto"/>
            <w:noWrap/>
            <w:vAlign w:val="bottom"/>
            <w:hideMark/>
          </w:tcPr>
          <w:p w:rsidR="00C034E2" w:rsidRPr="007F3363" w:rsidRDefault="00D37777" w:rsidP="00BC7DF5">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2,00</w:t>
            </w:r>
          </w:p>
        </w:tc>
      </w:tr>
      <w:tr w:rsidR="00C034E2" w:rsidRPr="007F3363" w:rsidTr="00C034E2">
        <w:trPr>
          <w:trHeight w:val="300"/>
        </w:trPr>
        <w:tc>
          <w:tcPr>
            <w:tcW w:w="3701" w:type="dxa"/>
            <w:tcBorders>
              <w:top w:val="nil"/>
              <w:left w:val="nil"/>
              <w:bottom w:val="single" w:sz="4" w:space="0" w:color="auto"/>
              <w:right w:val="nil"/>
            </w:tcBorders>
            <w:shd w:val="clear" w:color="auto" w:fill="auto"/>
            <w:noWrap/>
            <w:vAlign w:val="bottom"/>
            <w:hideMark/>
          </w:tcPr>
          <w:p w:rsidR="00C034E2" w:rsidRPr="007F3363" w:rsidRDefault="00C034E2" w:rsidP="00CD207C">
            <w:pPr>
              <w:spacing w:after="0"/>
              <w:jc w:val="left"/>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 xml:space="preserve">Ente Federativo </w:t>
            </w:r>
            <w:r w:rsidR="0067784F">
              <w:rPr>
                <w:rFonts w:asciiTheme="minorHAnsi" w:eastAsia="Times New Roman" w:hAnsiTheme="minorHAnsi" w:cs="Times New Roman"/>
                <w:lang w:eastAsia="en-US"/>
              </w:rPr>
              <w:t>–</w:t>
            </w:r>
            <w:r w:rsidRPr="007F3363">
              <w:rPr>
                <w:rFonts w:asciiTheme="minorHAnsi" w:eastAsia="Times New Roman" w:hAnsiTheme="minorHAnsi" w:cs="Times New Roman"/>
                <w:lang w:eastAsia="en-US"/>
              </w:rPr>
              <w:t xml:space="preserve"> Total</w:t>
            </w:r>
          </w:p>
        </w:tc>
        <w:tc>
          <w:tcPr>
            <w:tcW w:w="2760" w:type="dxa"/>
            <w:tcBorders>
              <w:top w:val="nil"/>
              <w:left w:val="nil"/>
              <w:bottom w:val="single" w:sz="4" w:space="0" w:color="auto"/>
              <w:right w:val="nil"/>
            </w:tcBorders>
            <w:shd w:val="clear" w:color="auto" w:fill="auto"/>
            <w:noWrap/>
            <w:vAlign w:val="bottom"/>
            <w:hideMark/>
          </w:tcPr>
          <w:p w:rsidR="00C034E2" w:rsidRPr="007F3363" w:rsidRDefault="00FD1E9B"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1</w:t>
            </w:r>
            <w:r w:rsidR="007A6ED7" w:rsidRPr="007F3363">
              <w:rPr>
                <w:rFonts w:asciiTheme="minorHAnsi" w:eastAsia="Times New Roman" w:hAnsiTheme="minorHAnsi" w:cs="Times New Roman"/>
                <w:lang w:eastAsia="en-US"/>
              </w:rPr>
              <w:t>7</w:t>
            </w:r>
            <w:r w:rsidRPr="007F3363">
              <w:rPr>
                <w:rFonts w:asciiTheme="minorHAnsi" w:eastAsia="Times New Roman" w:hAnsiTheme="minorHAnsi" w:cs="Times New Roman"/>
                <w:lang w:eastAsia="en-US"/>
              </w:rPr>
              <w:t>,</w:t>
            </w:r>
            <w:r w:rsidR="007A6ED7" w:rsidRPr="007F3363">
              <w:rPr>
                <w:rFonts w:asciiTheme="minorHAnsi" w:eastAsia="Times New Roman" w:hAnsiTheme="minorHAnsi" w:cs="Times New Roman"/>
                <w:lang w:eastAsia="en-US"/>
              </w:rPr>
              <w:t>88</w:t>
            </w:r>
          </w:p>
        </w:tc>
        <w:tc>
          <w:tcPr>
            <w:tcW w:w="3585" w:type="dxa"/>
            <w:tcBorders>
              <w:top w:val="nil"/>
              <w:left w:val="nil"/>
              <w:bottom w:val="single" w:sz="4" w:space="0" w:color="auto"/>
              <w:right w:val="nil"/>
            </w:tcBorders>
            <w:shd w:val="clear" w:color="auto" w:fill="auto"/>
            <w:noWrap/>
            <w:vAlign w:val="bottom"/>
            <w:hideMark/>
          </w:tcPr>
          <w:p w:rsidR="00C034E2" w:rsidRPr="007F3363" w:rsidRDefault="000F1880"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1</w:t>
            </w:r>
            <w:r w:rsidR="00BC7DF5" w:rsidRPr="007F3363">
              <w:rPr>
                <w:rFonts w:asciiTheme="minorHAnsi" w:eastAsia="Times New Roman" w:hAnsiTheme="minorHAnsi" w:cs="Times New Roman"/>
                <w:lang w:eastAsia="en-US"/>
              </w:rPr>
              <w:t>5,</w:t>
            </w:r>
            <w:r w:rsidR="007A6ED7" w:rsidRPr="007F3363">
              <w:rPr>
                <w:rFonts w:asciiTheme="minorHAnsi" w:eastAsia="Times New Roman" w:hAnsiTheme="minorHAnsi" w:cs="Times New Roman"/>
                <w:lang w:eastAsia="en-US"/>
              </w:rPr>
              <w:t>8</w:t>
            </w:r>
            <w:r w:rsidR="00FD1E9B" w:rsidRPr="007F3363">
              <w:rPr>
                <w:rFonts w:asciiTheme="minorHAnsi" w:eastAsia="Times New Roman" w:hAnsiTheme="minorHAnsi" w:cs="Times New Roman"/>
                <w:lang w:eastAsia="en-US"/>
              </w:rPr>
              <w:t>8</w:t>
            </w:r>
          </w:p>
        </w:tc>
      </w:tr>
      <w:tr w:rsidR="00C034E2" w:rsidRPr="007F3363" w:rsidTr="00C034E2">
        <w:trPr>
          <w:trHeight w:val="300"/>
        </w:trPr>
        <w:tc>
          <w:tcPr>
            <w:tcW w:w="3701" w:type="dxa"/>
            <w:tcBorders>
              <w:top w:val="nil"/>
              <w:left w:val="nil"/>
              <w:bottom w:val="single" w:sz="4" w:space="0" w:color="auto"/>
              <w:right w:val="nil"/>
            </w:tcBorders>
            <w:shd w:val="clear" w:color="auto" w:fill="auto"/>
            <w:noWrap/>
            <w:vAlign w:val="bottom"/>
            <w:hideMark/>
          </w:tcPr>
          <w:p w:rsidR="00C034E2" w:rsidRPr="007F3363" w:rsidRDefault="00C034E2" w:rsidP="00CD207C">
            <w:pPr>
              <w:spacing w:after="0"/>
              <w:jc w:val="left"/>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Segurados Ativos</w:t>
            </w:r>
          </w:p>
        </w:tc>
        <w:tc>
          <w:tcPr>
            <w:tcW w:w="2760" w:type="dxa"/>
            <w:tcBorders>
              <w:top w:val="nil"/>
              <w:left w:val="nil"/>
              <w:bottom w:val="single" w:sz="4" w:space="0" w:color="auto"/>
              <w:right w:val="nil"/>
            </w:tcBorders>
            <w:shd w:val="clear" w:color="auto" w:fill="auto"/>
            <w:noWrap/>
            <w:vAlign w:val="bottom"/>
            <w:hideMark/>
          </w:tcPr>
          <w:p w:rsidR="00C034E2" w:rsidRPr="007F3363" w:rsidRDefault="00C034E2"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1</w:t>
            </w:r>
            <w:r w:rsidR="009B3A28" w:rsidRPr="007F3363">
              <w:rPr>
                <w:rFonts w:asciiTheme="minorHAnsi" w:eastAsia="Times New Roman" w:hAnsiTheme="minorHAnsi" w:cs="Times New Roman"/>
                <w:lang w:eastAsia="en-US"/>
              </w:rPr>
              <w:t>1</w:t>
            </w:r>
            <w:r w:rsidRPr="007F3363">
              <w:rPr>
                <w:rFonts w:asciiTheme="minorHAnsi" w:eastAsia="Times New Roman" w:hAnsiTheme="minorHAnsi" w:cs="Times New Roman"/>
                <w:lang w:eastAsia="en-US"/>
              </w:rPr>
              <w:t>,00</w:t>
            </w:r>
          </w:p>
        </w:tc>
        <w:tc>
          <w:tcPr>
            <w:tcW w:w="3585" w:type="dxa"/>
            <w:tcBorders>
              <w:top w:val="nil"/>
              <w:left w:val="nil"/>
              <w:bottom w:val="single" w:sz="4" w:space="0" w:color="auto"/>
              <w:right w:val="nil"/>
            </w:tcBorders>
            <w:shd w:val="clear" w:color="auto" w:fill="auto"/>
            <w:noWrap/>
            <w:vAlign w:val="bottom"/>
            <w:hideMark/>
          </w:tcPr>
          <w:p w:rsidR="00C034E2" w:rsidRPr="007F3363" w:rsidRDefault="00C034E2" w:rsidP="000F1880">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1</w:t>
            </w:r>
            <w:r w:rsidR="009B3A28" w:rsidRPr="007F3363">
              <w:rPr>
                <w:rFonts w:asciiTheme="minorHAnsi" w:eastAsia="Times New Roman" w:hAnsiTheme="minorHAnsi" w:cs="Times New Roman"/>
                <w:lang w:eastAsia="en-US"/>
              </w:rPr>
              <w:t>1</w:t>
            </w:r>
            <w:r w:rsidRPr="007F3363">
              <w:rPr>
                <w:rFonts w:asciiTheme="minorHAnsi" w:eastAsia="Times New Roman" w:hAnsiTheme="minorHAnsi" w:cs="Times New Roman"/>
                <w:lang w:eastAsia="en-US"/>
              </w:rPr>
              <w:t>,00</w:t>
            </w:r>
          </w:p>
        </w:tc>
      </w:tr>
      <w:tr w:rsidR="00C034E2" w:rsidRPr="007F3363" w:rsidTr="00C034E2">
        <w:trPr>
          <w:trHeight w:val="300"/>
        </w:trPr>
        <w:tc>
          <w:tcPr>
            <w:tcW w:w="3701" w:type="dxa"/>
            <w:tcBorders>
              <w:top w:val="nil"/>
              <w:left w:val="nil"/>
              <w:bottom w:val="single" w:sz="4" w:space="0" w:color="auto"/>
              <w:right w:val="nil"/>
            </w:tcBorders>
            <w:shd w:val="clear" w:color="auto" w:fill="auto"/>
            <w:noWrap/>
            <w:vAlign w:val="bottom"/>
            <w:hideMark/>
          </w:tcPr>
          <w:p w:rsidR="00C034E2" w:rsidRPr="007F3363" w:rsidRDefault="00C034E2" w:rsidP="00CD207C">
            <w:pPr>
              <w:spacing w:after="0"/>
              <w:jc w:val="left"/>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Aposentados</w:t>
            </w:r>
          </w:p>
        </w:tc>
        <w:tc>
          <w:tcPr>
            <w:tcW w:w="2760" w:type="dxa"/>
            <w:tcBorders>
              <w:top w:val="nil"/>
              <w:left w:val="nil"/>
              <w:bottom w:val="single" w:sz="4" w:space="0" w:color="auto"/>
              <w:right w:val="nil"/>
            </w:tcBorders>
            <w:shd w:val="clear" w:color="auto" w:fill="auto"/>
            <w:noWrap/>
            <w:vAlign w:val="bottom"/>
            <w:hideMark/>
          </w:tcPr>
          <w:p w:rsidR="00C034E2" w:rsidRPr="007F3363" w:rsidRDefault="00C034E2"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1</w:t>
            </w:r>
            <w:r w:rsidR="009B3A28" w:rsidRPr="007F3363">
              <w:rPr>
                <w:rFonts w:asciiTheme="minorHAnsi" w:eastAsia="Times New Roman" w:hAnsiTheme="minorHAnsi" w:cs="Times New Roman"/>
                <w:lang w:eastAsia="en-US"/>
              </w:rPr>
              <w:t>1</w:t>
            </w:r>
            <w:r w:rsidRPr="007F3363">
              <w:rPr>
                <w:rFonts w:asciiTheme="minorHAnsi" w:eastAsia="Times New Roman" w:hAnsiTheme="minorHAnsi" w:cs="Times New Roman"/>
                <w:lang w:eastAsia="en-US"/>
              </w:rPr>
              <w:t>,00</w:t>
            </w:r>
            <w:r w:rsidR="00B033F4" w:rsidRPr="007F3363">
              <w:rPr>
                <w:rFonts w:asciiTheme="minorHAnsi" w:eastAsia="Times New Roman" w:hAnsiTheme="minorHAnsi" w:cs="Times New Roman"/>
                <w:lang w:eastAsia="en-US"/>
              </w:rPr>
              <w:t xml:space="preserve"> (ultrapassa o teto)</w:t>
            </w:r>
          </w:p>
        </w:tc>
        <w:tc>
          <w:tcPr>
            <w:tcW w:w="3585" w:type="dxa"/>
            <w:tcBorders>
              <w:top w:val="nil"/>
              <w:left w:val="nil"/>
              <w:bottom w:val="single" w:sz="4" w:space="0" w:color="auto"/>
              <w:right w:val="nil"/>
            </w:tcBorders>
            <w:shd w:val="clear" w:color="auto" w:fill="auto"/>
            <w:noWrap/>
            <w:vAlign w:val="bottom"/>
            <w:hideMark/>
          </w:tcPr>
          <w:p w:rsidR="00C034E2" w:rsidRPr="007F3363" w:rsidRDefault="00BC7DF5"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1</w:t>
            </w:r>
            <w:r w:rsidR="009B3A28" w:rsidRPr="007F3363">
              <w:rPr>
                <w:rFonts w:asciiTheme="minorHAnsi" w:eastAsia="Times New Roman" w:hAnsiTheme="minorHAnsi" w:cs="Times New Roman"/>
                <w:lang w:eastAsia="en-US"/>
              </w:rPr>
              <w:t>1</w:t>
            </w:r>
            <w:r w:rsidR="00C034E2" w:rsidRPr="007F3363">
              <w:rPr>
                <w:rFonts w:asciiTheme="minorHAnsi" w:eastAsia="Times New Roman" w:hAnsiTheme="minorHAnsi" w:cs="Times New Roman"/>
                <w:lang w:eastAsia="en-US"/>
              </w:rPr>
              <w:t>,00</w:t>
            </w:r>
          </w:p>
        </w:tc>
      </w:tr>
      <w:tr w:rsidR="00C034E2" w:rsidRPr="007F3363" w:rsidTr="00C034E2">
        <w:trPr>
          <w:trHeight w:val="300"/>
        </w:trPr>
        <w:tc>
          <w:tcPr>
            <w:tcW w:w="3701" w:type="dxa"/>
            <w:tcBorders>
              <w:top w:val="nil"/>
              <w:left w:val="nil"/>
              <w:bottom w:val="single" w:sz="4" w:space="0" w:color="auto"/>
              <w:right w:val="nil"/>
            </w:tcBorders>
            <w:shd w:val="clear" w:color="auto" w:fill="auto"/>
            <w:noWrap/>
            <w:vAlign w:val="bottom"/>
            <w:hideMark/>
          </w:tcPr>
          <w:p w:rsidR="00C034E2" w:rsidRPr="007F3363" w:rsidRDefault="00C034E2" w:rsidP="00CD207C">
            <w:pPr>
              <w:spacing w:after="0"/>
              <w:jc w:val="left"/>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Pensionistas</w:t>
            </w:r>
          </w:p>
        </w:tc>
        <w:tc>
          <w:tcPr>
            <w:tcW w:w="2760" w:type="dxa"/>
            <w:tcBorders>
              <w:top w:val="nil"/>
              <w:left w:val="nil"/>
              <w:bottom w:val="single" w:sz="4" w:space="0" w:color="auto"/>
              <w:right w:val="nil"/>
            </w:tcBorders>
            <w:shd w:val="clear" w:color="auto" w:fill="auto"/>
            <w:noWrap/>
            <w:vAlign w:val="bottom"/>
            <w:hideMark/>
          </w:tcPr>
          <w:p w:rsidR="00C034E2" w:rsidRPr="007F3363" w:rsidRDefault="00C034E2"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1</w:t>
            </w:r>
            <w:r w:rsidR="009B3A28" w:rsidRPr="007F3363">
              <w:rPr>
                <w:rFonts w:asciiTheme="minorHAnsi" w:eastAsia="Times New Roman" w:hAnsiTheme="minorHAnsi" w:cs="Times New Roman"/>
                <w:lang w:eastAsia="en-US"/>
              </w:rPr>
              <w:t>1</w:t>
            </w:r>
            <w:r w:rsidRPr="007F3363">
              <w:rPr>
                <w:rFonts w:asciiTheme="minorHAnsi" w:eastAsia="Times New Roman" w:hAnsiTheme="minorHAnsi" w:cs="Times New Roman"/>
                <w:lang w:eastAsia="en-US"/>
              </w:rPr>
              <w:t>,00</w:t>
            </w:r>
          </w:p>
        </w:tc>
        <w:tc>
          <w:tcPr>
            <w:tcW w:w="3585" w:type="dxa"/>
            <w:tcBorders>
              <w:top w:val="nil"/>
              <w:left w:val="nil"/>
              <w:bottom w:val="single" w:sz="4" w:space="0" w:color="auto"/>
              <w:right w:val="nil"/>
            </w:tcBorders>
            <w:shd w:val="clear" w:color="auto" w:fill="auto"/>
            <w:noWrap/>
            <w:vAlign w:val="bottom"/>
            <w:hideMark/>
          </w:tcPr>
          <w:p w:rsidR="00C034E2" w:rsidRPr="007F3363" w:rsidRDefault="00BC7DF5"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1</w:t>
            </w:r>
            <w:r w:rsidR="009B3A28" w:rsidRPr="007F3363">
              <w:rPr>
                <w:rFonts w:asciiTheme="minorHAnsi" w:eastAsia="Times New Roman" w:hAnsiTheme="minorHAnsi" w:cs="Times New Roman"/>
                <w:lang w:eastAsia="en-US"/>
              </w:rPr>
              <w:t>1</w:t>
            </w:r>
            <w:r w:rsidR="00C034E2" w:rsidRPr="007F3363">
              <w:rPr>
                <w:rFonts w:asciiTheme="minorHAnsi" w:eastAsia="Times New Roman" w:hAnsiTheme="minorHAnsi" w:cs="Times New Roman"/>
                <w:lang w:eastAsia="en-US"/>
              </w:rPr>
              <w:t>,00</w:t>
            </w:r>
          </w:p>
        </w:tc>
      </w:tr>
    </w:tbl>
    <w:p w:rsidR="00891994" w:rsidRPr="007F3363" w:rsidRDefault="00802BA6" w:rsidP="00CD207C">
      <w:pPr>
        <w:ind w:firstLine="720"/>
        <w:rPr>
          <w:rFonts w:asciiTheme="minorHAnsi" w:hAnsiTheme="minorHAnsi" w:cs="Times"/>
          <w:lang w:eastAsia="en-US"/>
        </w:rPr>
      </w:pPr>
      <w:r w:rsidRPr="007F3363">
        <w:rPr>
          <w:rFonts w:asciiTheme="minorHAnsi" w:hAnsiTheme="minorHAnsi"/>
        </w:rPr>
        <w:t xml:space="preserve">As contribuições atualmente vertidas ao </w:t>
      </w:r>
      <w:r w:rsidR="001E3220" w:rsidRPr="007F3363">
        <w:rPr>
          <w:rFonts w:asciiTheme="minorHAnsi" w:hAnsiTheme="minorHAnsi"/>
        </w:rPr>
        <w:t xml:space="preserve">RPPS – </w:t>
      </w:r>
      <w:r w:rsidR="0073786F" w:rsidRPr="007F3363">
        <w:rPr>
          <w:rFonts w:asciiTheme="minorHAnsi" w:hAnsiTheme="minorHAnsi"/>
        </w:rPr>
        <w:t>São Nicolau</w:t>
      </w:r>
      <w:r w:rsidR="0000318F" w:rsidRPr="007F3363">
        <w:rPr>
          <w:rFonts w:asciiTheme="minorHAnsi" w:hAnsiTheme="minorHAnsi"/>
        </w:rPr>
        <w:t xml:space="preserve"> </w:t>
      </w:r>
      <w:r w:rsidR="00E632FE" w:rsidRPr="007F3363">
        <w:rPr>
          <w:rFonts w:asciiTheme="minorHAnsi" w:hAnsiTheme="minorHAnsi"/>
        </w:rPr>
        <w:t xml:space="preserve">somam </w:t>
      </w:r>
      <w:r w:rsidRPr="007F3363">
        <w:rPr>
          <w:rFonts w:asciiTheme="minorHAnsi" w:hAnsiTheme="minorHAnsi"/>
        </w:rPr>
        <w:t>2</w:t>
      </w:r>
      <w:r w:rsidR="00C5072C" w:rsidRPr="007F3363">
        <w:rPr>
          <w:rFonts w:asciiTheme="minorHAnsi" w:hAnsiTheme="minorHAnsi"/>
        </w:rPr>
        <w:t>8</w:t>
      </w:r>
      <w:r w:rsidRPr="007F3363">
        <w:rPr>
          <w:rFonts w:asciiTheme="minorHAnsi" w:hAnsiTheme="minorHAnsi"/>
        </w:rPr>
        <w:t>,</w:t>
      </w:r>
      <w:r w:rsidR="00C5072C" w:rsidRPr="007F3363">
        <w:rPr>
          <w:rFonts w:asciiTheme="minorHAnsi" w:hAnsiTheme="minorHAnsi"/>
        </w:rPr>
        <w:t>8</w:t>
      </w:r>
      <w:r w:rsidR="00C24340" w:rsidRPr="007F3363">
        <w:rPr>
          <w:rFonts w:asciiTheme="minorHAnsi" w:hAnsiTheme="minorHAnsi"/>
        </w:rPr>
        <w:t>8</w:t>
      </w:r>
      <w:r w:rsidRPr="007F3363">
        <w:rPr>
          <w:rFonts w:asciiTheme="minorHAnsi" w:hAnsiTheme="minorHAnsi"/>
        </w:rPr>
        <w:t>%</w:t>
      </w:r>
      <w:r w:rsidR="00E632FE" w:rsidRPr="007F3363">
        <w:rPr>
          <w:rFonts w:asciiTheme="minorHAnsi" w:hAnsiTheme="minorHAnsi"/>
        </w:rPr>
        <w:t xml:space="preserve"> </w:t>
      </w:r>
      <w:r w:rsidRPr="007F3363">
        <w:rPr>
          <w:rFonts w:asciiTheme="minorHAnsi" w:hAnsiTheme="minorHAnsi"/>
        </w:rPr>
        <w:t>(1</w:t>
      </w:r>
      <w:r w:rsidR="00C5072C" w:rsidRPr="007F3363">
        <w:rPr>
          <w:rFonts w:asciiTheme="minorHAnsi" w:hAnsiTheme="minorHAnsi"/>
        </w:rPr>
        <w:t>1</w:t>
      </w:r>
      <w:r w:rsidRPr="007F3363">
        <w:rPr>
          <w:rFonts w:asciiTheme="minorHAnsi" w:hAnsiTheme="minorHAnsi"/>
        </w:rPr>
        <w:t>,</w:t>
      </w:r>
      <w:r w:rsidR="00C034E2" w:rsidRPr="007F3363">
        <w:rPr>
          <w:rFonts w:asciiTheme="minorHAnsi" w:hAnsiTheme="minorHAnsi"/>
        </w:rPr>
        <w:t>0</w:t>
      </w:r>
      <w:r w:rsidR="00766602" w:rsidRPr="007F3363">
        <w:rPr>
          <w:rFonts w:asciiTheme="minorHAnsi" w:hAnsiTheme="minorHAnsi"/>
        </w:rPr>
        <w:t>0</w:t>
      </w:r>
      <w:r w:rsidRPr="007F3363">
        <w:rPr>
          <w:rFonts w:asciiTheme="minorHAnsi" w:hAnsiTheme="minorHAnsi"/>
        </w:rPr>
        <w:t>% para o servidor</w:t>
      </w:r>
      <w:r w:rsidR="00B033F4" w:rsidRPr="007F3363">
        <w:rPr>
          <w:rFonts w:asciiTheme="minorHAnsi" w:hAnsiTheme="minorHAnsi"/>
        </w:rPr>
        <w:t xml:space="preserve"> ativo</w:t>
      </w:r>
      <w:r w:rsidR="00CA3E4B" w:rsidRPr="007F3363">
        <w:rPr>
          <w:rFonts w:asciiTheme="minorHAnsi" w:hAnsiTheme="minorHAnsi"/>
        </w:rPr>
        <w:t>-pensionista</w:t>
      </w:r>
      <w:r w:rsidR="00B033F4" w:rsidRPr="007F3363">
        <w:rPr>
          <w:rFonts w:asciiTheme="minorHAnsi" w:hAnsiTheme="minorHAnsi"/>
        </w:rPr>
        <w:t xml:space="preserve"> e aposentado se ultrapassar o teto</w:t>
      </w:r>
      <w:r w:rsidRPr="007F3363">
        <w:rPr>
          <w:rFonts w:asciiTheme="minorHAnsi" w:hAnsiTheme="minorHAnsi"/>
        </w:rPr>
        <w:t xml:space="preserve"> e </w:t>
      </w:r>
      <w:r w:rsidR="00C75910" w:rsidRPr="007F3363">
        <w:rPr>
          <w:rFonts w:asciiTheme="minorHAnsi" w:hAnsiTheme="minorHAnsi"/>
        </w:rPr>
        <w:t>1</w:t>
      </w:r>
      <w:r w:rsidR="00C5072C" w:rsidRPr="007F3363">
        <w:rPr>
          <w:rFonts w:asciiTheme="minorHAnsi" w:hAnsiTheme="minorHAnsi"/>
        </w:rPr>
        <w:t>7</w:t>
      </w:r>
      <w:r w:rsidR="00C75910" w:rsidRPr="007F3363">
        <w:rPr>
          <w:rFonts w:asciiTheme="minorHAnsi" w:hAnsiTheme="minorHAnsi"/>
        </w:rPr>
        <w:t>,</w:t>
      </w:r>
      <w:r w:rsidR="00C5072C" w:rsidRPr="007F3363">
        <w:rPr>
          <w:rFonts w:asciiTheme="minorHAnsi" w:hAnsiTheme="minorHAnsi"/>
        </w:rPr>
        <w:t>8</w:t>
      </w:r>
      <w:r w:rsidR="00C75910" w:rsidRPr="007F3363">
        <w:rPr>
          <w:rFonts w:asciiTheme="minorHAnsi" w:hAnsiTheme="minorHAnsi"/>
        </w:rPr>
        <w:t>8</w:t>
      </w:r>
      <w:r w:rsidRPr="007F3363">
        <w:rPr>
          <w:rFonts w:asciiTheme="minorHAnsi" w:hAnsiTheme="minorHAnsi"/>
        </w:rPr>
        <w:t>% para o Município).</w:t>
      </w:r>
      <w:r w:rsidR="00891994" w:rsidRPr="007F3363">
        <w:rPr>
          <w:rFonts w:asciiTheme="minorHAnsi" w:hAnsiTheme="minorHAnsi"/>
        </w:rPr>
        <w:t xml:space="preserve"> </w:t>
      </w:r>
      <w:r w:rsidR="00C034E2" w:rsidRPr="007F3363">
        <w:rPr>
          <w:rFonts w:asciiTheme="minorHAnsi" w:hAnsiTheme="minorHAnsi"/>
        </w:rPr>
        <w:t>Foi necessário rever o plano de equacionamento do déficit atuarial afim de possibilitar sua integral amortização.</w:t>
      </w:r>
    </w:p>
    <w:p w:rsidR="005E3749" w:rsidRPr="007F3363" w:rsidRDefault="00C539C8" w:rsidP="00CD207C">
      <w:pPr>
        <w:ind w:firstLine="720"/>
        <w:rPr>
          <w:rFonts w:asciiTheme="minorHAnsi" w:hAnsiTheme="minorHAnsi"/>
        </w:rPr>
      </w:pPr>
      <w:r w:rsidRPr="007F3363">
        <w:rPr>
          <w:rFonts w:asciiTheme="minorHAnsi" w:hAnsiTheme="minorHAnsi"/>
        </w:rPr>
        <w:t xml:space="preserve">O quadro abaixo sintetiza a relação de servidores ativos, inativos e pensionistas do </w:t>
      </w:r>
      <w:r w:rsidR="001E3220" w:rsidRPr="007F3363">
        <w:rPr>
          <w:rFonts w:asciiTheme="minorHAnsi" w:hAnsiTheme="minorHAnsi"/>
        </w:rPr>
        <w:t xml:space="preserve">RPPS – </w:t>
      </w:r>
      <w:r w:rsidR="0073786F" w:rsidRPr="007F3363">
        <w:rPr>
          <w:rFonts w:asciiTheme="minorHAnsi" w:hAnsiTheme="minorHAnsi"/>
        </w:rPr>
        <w:t>São Nicolau</w:t>
      </w:r>
      <w:r w:rsidRPr="007F3363">
        <w:rPr>
          <w:rFonts w:asciiTheme="minorHAnsi" w:hAnsiTheme="minorHAnsi"/>
        </w:rPr>
        <w:t>:</w:t>
      </w:r>
    </w:p>
    <w:p w:rsidR="00C034E2" w:rsidRPr="007F3363" w:rsidRDefault="000201F4" w:rsidP="000201F4">
      <w:pPr>
        <w:spacing w:after="0"/>
        <w:ind w:firstLine="720"/>
        <w:jc w:val="center"/>
        <w:rPr>
          <w:rFonts w:asciiTheme="minorHAnsi" w:hAnsiTheme="minorHAnsi"/>
        </w:rPr>
      </w:pPr>
      <w:r w:rsidRPr="007F3363">
        <w:rPr>
          <w:rFonts w:asciiTheme="minorHAnsi" w:hAnsiTheme="minorHAnsi"/>
          <w:noProof/>
        </w:rPr>
        <w:drawing>
          <wp:anchor distT="0" distB="0" distL="114300" distR="114300" simplePos="0" relativeHeight="251664384" behindDoc="1" locked="0" layoutInCell="1" allowOverlap="1" wp14:anchorId="60B916C0">
            <wp:simplePos x="0" y="0"/>
            <wp:positionH relativeFrom="column">
              <wp:posOffset>212089</wp:posOffset>
            </wp:positionH>
            <wp:positionV relativeFrom="paragraph">
              <wp:posOffset>241320</wp:posOffset>
            </wp:positionV>
            <wp:extent cx="6096635" cy="3178790"/>
            <wp:effectExtent l="0" t="0" r="0" b="3175"/>
            <wp:wrapTight wrapText="bothSides">
              <wp:wrapPolygon edited="0">
                <wp:start x="0" y="0"/>
                <wp:lineTo x="0" y="21492"/>
                <wp:lineTo x="21530" y="21492"/>
                <wp:lineTo x="21530" y="0"/>
                <wp:lineTo x="0" y="0"/>
              </wp:wrapPolygon>
            </wp:wrapTight>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7596" cy="3179291"/>
                    </a:xfrm>
                    <a:prstGeom prst="rect">
                      <a:avLst/>
                    </a:prstGeom>
                    <a:noFill/>
                  </pic:spPr>
                </pic:pic>
              </a:graphicData>
            </a:graphic>
            <wp14:sizeRelH relativeFrom="page">
              <wp14:pctWidth>0</wp14:pctWidth>
            </wp14:sizeRelH>
            <wp14:sizeRelV relativeFrom="page">
              <wp14:pctHeight>0</wp14:pctHeight>
            </wp14:sizeRelV>
          </wp:anchor>
        </w:drawing>
      </w:r>
      <w:r w:rsidR="00926E01" w:rsidRPr="007F3363">
        <w:rPr>
          <w:rFonts w:asciiTheme="minorHAnsi" w:hAnsiTheme="minorHAnsi"/>
        </w:rPr>
        <w:t>Plano Civil Previdenciário:</w:t>
      </w:r>
    </w:p>
    <w:p w:rsidR="00926E01" w:rsidRPr="007F3363" w:rsidRDefault="006F495E" w:rsidP="00926E01">
      <w:pPr>
        <w:spacing w:after="0"/>
        <w:ind w:left="-630"/>
        <w:rPr>
          <w:rFonts w:asciiTheme="minorHAnsi" w:hAnsiTheme="minorHAnsi"/>
        </w:rPr>
      </w:pPr>
      <w:r w:rsidRPr="007F3363">
        <w:rPr>
          <w:noProof/>
        </w:rPr>
        <w:drawing>
          <wp:anchor distT="0" distB="0" distL="114300" distR="114300" simplePos="0" relativeHeight="251659264" behindDoc="1" locked="0" layoutInCell="1" allowOverlap="1" wp14:anchorId="37BEFE2C">
            <wp:simplePos x="0" y="0"/>
            <wp:positionH relativeFrom="margin">
              <wp:align>left</wp:align>
            </wp:positionH>
            <wp:positionV relativeFrom="page">
              <wp:posOffset>11447145</wp:posOffset>
            </wp:positionV>
            <wp:extent cx="6588760" cy="287655"/>
            <wp:effectExtent l="0" t="0" r="254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588760" cy="287655"/>
                    </a:xfrm>
                    <a:prstGeom prst="rect">
                      <a:avLst/>
                    </a:prstGeom>
                  </pic:spPr>
                </pic:pic>
              </a:graphicData>
            </a:graphic>
            <wp14:sizeRelH relativeFrom="page">
              <wp14:pctWidth>0</wp14:pctWidth>
            </wp14:sizeRelH>
            <wp14:sizeRelV relativeFrom="page">
              <wp14:pctHeight>0</wp14:pctHeight>
            </wp14:sizeRelV>
          </wp:anchor>
        </w:drawing>
      </w:r>
    </w:p>
    <w:p w:rsidR="00C85900" w:rsidRPr="007F3363" w:rsidRDefault="00C85900" w:rsidP="00CD207C">
      <w:pPr>
        <w:spacing w:after="0"/>
        <w:ind w:firstLine="720"/>
        <w:rPr>
          <w:rFonts w:asciiTheme="minorHAnsi" w:hAnsiTheme="minorHAnsi"/>
        </w:rPr>
      </w:pPr>
    </w:p>
    <w:p w:rsidR="00C85900" w:rsidRPr="007F3363" w:rsidRDefault="00C85900" w:rsidP="00CD207C">
      <w:pPr>
        <w:spacing w:after="0"/>
        <w:ind w:firstLine="720"/>
        <w:rPr>
          <w:rFonts w:asciiTheme="minorHAnsi" w:hAnsiTheme="minorHAnsi"/>
        </w:rPr>
      </w:pPr>
    </w:p>
    <w:p w:rsidR="00C85900" w:rsidRPr="007F3363" w:rsidRDefault="00C85900" w:rsidP="00CD207C">
      <w:pPr>
        <w:spacing w:after="0"/>
        <w:ind w:firstLine="720"/>
        <w:rPr>
          <w:rFonts w:asciiTheme="minorHAnsi" w:hAnsiTheme="minorHAnsi"/>
        </w:rPr>
      </w:pPr>
    </w:p>
    <w:p w:rsidR="00C85900" w:rsidRPr="007F3363" w:rsidRDefault="00C85900" w:rsidP="00CD207C">
      <w:pPr>
        <w:spacing w:after="0"/>
        <w:ind w:firstLine="720"/>
        <w:rPr>
          <w:rFonts w:asciiTheme="minorHAnsi" w:hAnsiTheme="minorHAnsi"/>
        </w:rPr>
      </w:pPr>
    </w:p>
    <w:p w:rsidR="00C85900" w:rsidRPr="007F3363" w:rsidRDefault="00C85900" w:rsidP="00CD207C">
      <w:pPr>
        <w:spacing w:after="0"/>
        <w:ind w:firstLine="720"/>
        <w:rPr>
          <w:rFonts w:asciiTheme="minorHAnsi" w:hAnsiTheme="minorHAnsi"/>
        </w:rPr>
      </w:pPr>
    </w:p>
    <w:p w:rsidR="00B033F4" w:rsidRPr="007F3363" w:rsidRDefault="00856497" w:rsidP="000201F4">
      <w:pPr>
        <w:spacing w:after="0"/>
        <w:rPr>
          <w:rFonts w:asciiTheme="minorHAnsi" w:hAnsiTheme="minorHAnsi"/>
          <w:b/>
        </w:rPr>
      </w:pPr>
      <w:r w:rsidRPr="007F3363">
        <w:rPr>
          <w:rFonts w:asciiTheme="minorHAnsi" w:hAnsiTheme="minorHAnsi"/>
        </w:rPr>
        <w:t xml:space="preserve">O </w:t>
      </w:r>
      <w:r w:rsidRPr="007F3363">
        <w:rPr>
          <w:rFonts w:asciiTheme="minorHAnsi" w:hAnsiTheme="minorHAnsi"/>
          <w:b/>
        </w:rPr>
        <w:t xml:space="preserve">Plano Previdenciário </w:t>
      </w:r>
      <w:r w:rsidR="00C539C8" w:rsidRPr="007F3363">
        <w:rPr>
          <w:rFonts w:asciiTheme="minorHAnsi" w:hAnsiTheme="minorHAnsi"/>
        </w:rPr>
        <w:t xml:space="preserve">encontra-se </w:t>
      </w:r>
      <w:r w:rsidR="00926E01" w:rsidRPr="007F3363">
        <w:rPr>
          <w:rFonts w:asciiTheme="minorHAnsi" w:hAnsiTheme="minorHAnsi"/>
          <w:b/>
        </w:rPr>
        <w:t xml:space="preserve">com </w:t>
      </w:r>
      <w:r w:rsidR="00A360B6" w:rsidRPr="007F3363">
        <w:rPr>
          <w:rFonts w:asciiTheme="minorHAnsi" w:hAnsiTheme="minorHAnsi"/>
          <w:b/>
        </w:rPr>
        <w:t>déficit</w:t>
      </w:r>
      <w:r w:rsidR="00875B5A" w:rsidRPr="007F3363">
        <w:rPr>
          <w:rFonts w:asciiTheme="minorHAnsi" w:hAnsiTheme="minorHAnsi"/>
        </w:rPr>
        <w:t xml:space="preserve"> </w:t>
      </w:r>
      <w:r w:rsidR="00DC6208" w:rsidRPr="007F3363">
        <w:rPr>
          <w:rFonts w:asciiTheme="minorHAnsi" w:hAnsiTheme="minorHAnsi"/>
        </w:rPr>
        <w:t xml:space="preserve">no </w:t>
      </w:r>
      <w:r w:rsidR="00963580" w:rsidRPr="007F3363">
        <w:rPr>
          <w:rFonts w:asciiTheme="minorHAnsi" w:hAnsiTheme="minorHAnsi"/>
        </w:rPr>
        <w:t>resultado atuarial</w:t>
      </w:r>
      <w:r w:rsidR="00DC6208" w:rsidRPr="007F3363">
        <w:rPr>
          <w:rFonts w:asciiTheme="minorHAnsi" w:hAnsiTheme="minorHAnsi"/>
        </w:rPr>
        <w:t>,</w:t>
      </w:r>
      <w:r w:rsidR="00963580" w:rsidRPr="007F3363">
        <w:rPr>
          <w:rFonts w:asciiTheme="minorHAnsi" w:hAnsiTheme="minorHAnsi"/>
        </w:rPr>
        <w:t xml:space="preserve"> </w:t>
      </w:r>
      <w:r w:rsidR="00CE76F2" w:rsidRPr="007F3363">
        <w:rPr>
          <w:rFonts w:asciiTheme="minorHAnsi" w:hAnsiTheme="minorHAnsi"/>
        </w:rPr>
        <w:t>no montante</w:t>
      </w:r>
      <w:r w:rsidR="00C539C8" w:rsidRPr="007F3363">
        <w:rPr>
          <w:rFonts w:asciiTheme="minorHAnsi" w:hAnsiTheme="minorHAnsi"/>
        </w:rPr>
        <w:t xml:space="preserve"> de </w:t>
      </w:r>
      <w:r w:rsidR="002965D4" w:rsidRPr="007F3363">
        <w:rPr>
          <w:rFonts w:asciiTheme="minorHAnsi" w:hAnsiTheme="minorHAnsi"/>
          <w:b/>
        </w:rPr>
        <w:t xml:space="preserve">-R$ </w:t>
      </w:r>
      <w:r w:rsidR="00FB584D" w:rsidRPr="007F3363">
        <w:rPr>
          <w:rFonts w:asciiTheme="minorHAnsi" w:hAnsiTheme="minorHAnsi"/>
          <w:b/>
        </w:rPr>
        <w:t>31.146.192,70</w:t>
      </w:r>
    </w:p>
    <w:p w:rsidR="00B033F4" w:rsidRPr="007F3363" w:rsidRDefault="00B033F4" w:rsidP="00CD207C">
      <w:pPr>
        <w:spacing w:after="0"/>
        <w:ind w:firstLine="720"/>
        <w:rPr>
          <w:rFonts w:asciiTheme="minorHAnsi" w:hAnsiTheme="minorHAnsi"/>
        </w:rPr>
      </w:pPr>
    </w:p>
    <w:tbl>
      <w:tblPr>
        <w:tblW w:w="10096" w:type="dxa"/>
        <w:tblInd w:w="93" w:type="dxa"/>
        <w:tblLook w:val="04A0" w:firstRow="1" w:lastRow="0" w:firstColumn="1" w:lastColumn="0" w:noHBand="0" w:noVBand="1"/>
      </w:tblPr>
      <w:tblGrid>
        <w:gridCol w:w="7812"/>
        <w:gridCol w:w="2268"/>
        <w:gridCol w:w="16"/>
      </w:tblGrid>
      <w:tr w:rsidR="00C034E2" w:rsidRPr="007F3363" w:rsidTr="00C034E2">
        <w:trPr>
          <w:trHeight w:val="300"/>
        </w:trPr>
        <w:tc>
          <w:tcPr>
            <w:tcW w:w="7812" w:type="dxa"/>
            <w:tcBorders>
              <w:top w:val="nil"/>
              <w:left w:val="nil"/>
              <w:bottom w:val="nil"/>
              <w:right w:val="nil"/>
            </w:tcBorders>
            <w:shd w:val="clear" w:color="auto" w:fill="auto"/>
            <w:noWrap/>
            <w:vAlign w:val="bottom"/>
            <w:hideMark/>
          </w:tcPr>
          <w:p w:rsidR="00C034E2" w:rsidRPr="007F3363" w:rsidRDefault="00C034E2" w:rsidP="00CD207C">
            <w:pPr>
              <w:spacing w:after="0"/>
              <w:jc w:val="left"/>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Plano Previdenciário:</w:t>
            </w:r>
          </w:p>
        </w:tc>
        <w:tc>
          <w:tcPr>
            <w:tcW w:w="2284" w:type="dxa"/>
            <w:gridSpan w:val="2"/>
            <w:tcBorders>
              <w:top w:val="nil"/>
              <w:left w:val="nil"/>
              <w:bottom w:val="nil"/>
              <w:right w:val="nil"/>
            </w:tcBorders>
            <w:shd w:val="clear" w:color="auto" w:fill="auto"/>
            <w:noWrap/>
            <w:vAlign w:val="bottom"/>
            <w:hideMark/>
          </w:tcPr>
          <w:p w:rsidR="00C034E2" w:rsidRPr="007F3363" w:rsidRDefault="00C034E2" w:rsidP="00CD207C">
            <w:pPr>
              <w:spacing w:after="0"/>
              <w:jc w:val="left"/>
              <w:rPr>
                <w:rFonts w:asciiTheme="minorHAnsi" w:eastAsia="Times New Roman" w:hAnsiTheme="minorHAnsi" w:cs="Times New Roman"/>
                <w:lang w:eastAsia="en-US"/>
              </w:rPr>
            </w:pPr>
          </w:p>
        </w:tc>
      </w:tr>
      <w:tr w:rsidR="00C034E2" w:rsidRPr="007F3363" w:rsidTr="00C034E2">
        <w:trPr>
          <w:gridAfter w:val="1"/>
          <w:wAfter w:w="16" w:type="dxa"/>
          <w:trHeight w:val="300"/>
        </w:trPr>
        <w:tc>
          <w:tcPr>
            <w:tcW w:w="10080" w:type="dxa"/>
            <w:gridSpan w:val="2"/>
            <w:tcBorders>
              <w:top w:val="single" w:sz="4" w:space="0" w:color="auto"/>
              <w:left w:val="nil"/>
              <w:bottom w:val="single" w:sz="4" w:space="0" w:color="auto"/>
              <w:right w:val="nil"/>
            </w:tcBorders>
            <w:shd w:val="clear" w:color="000000" w:fill="F2F2F2"/>
            <w:noWrap/>
            <w:vAlign w:val="bottom"/>
            <w:hideMark/>
          </w:tcPr>
          <w:p w:rsidR="00C034E2" w:rsidRPr="007F3363" w:rsidRDefault="00C034E2" w:rsidP="00CD207C">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Resultado Atuarial</w:t>
            </w:r>
          </w:p>
        </w:tc>
      </w:tr>
      <w:tr w:rsidR="00C034E2" w:rsidRPr="007F3363" w:rsidTr="00C034E2">
        <w:trPr>
          <w:trHeight w:val="300"/>
        </w:trPr>
        <w:tc>
          <w:tcPr>
            <w:tcW w:w="7812" w:type="dxa"/>
            <w:tcBorders>
              <w:top w:val="nil"/>
              <w:left w:val="nil"/>
              <w:bottom w:val="single" w:sz="4" w:space="0" w:color="auto"/>
              <w:right w:val="nil"/>
            </w:tcBorders>
            <w:shd w:val="clear" w:color="auto" w:fill="auto"/>
            <w:noWrap/>
            <w:vAlign w:val="bottom"/>
            <w:hideMark/>
          </w:tcPr>
          <w:p w:rsidR="00C034E2" w:rsidRPr="007F3363" w:rsidRDefault="00C034E2" w:rsidP="00CD207C">
            <w:pPr>
              <w:spacing w:after="0"/>
              <w:jc w:val="left"/>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 xml:space="preserve">Ativos garantidores dos compromissos do plano de benefícios </w:t>
            </w:r>
          </w:p>
        </w:tc>
        <w:tc>
          <w:tcPr>
            <w:tcW w:w="2284" w:type="dxa"/>
            <w:gridSpan w:val="2"/>
            <w:tcBorders>
              <w:top w:val="nil"/>
              <w:left w:val="nil"/>
              <w:bottom w:val="single" w:sz="4" w:space="0" w:color="auto"/>
              <w:right w:val="nil"/>
            </w:tcBorders>
            <w:shd w:val="clear" w:color="auto" w:fill="auto"/>
            <w:noWrap/>
            <w:vAlign w:val="bottom"/>
            <w:hideMark/>
          </w:tcPr>
          <w:p w:rsidR="00C034E2" w:rsidRPr="007F3363" w:rsidRDefault="002965D4" w:rsidP="00CD207C">
            <w:pPr>
              <w:spacing w:after="0"/>
              <w:jc w:val="right"/>
              <w:rPr>
                <w:rFonts w:asciiTheme="minorHAnsi" w:eastAsia="Times New Roman" w:hAnsiTheme="minorHAnsi" w:cs="Times New Roman"/>
                <w:lang w:eastAsia="en-US"/>
              </w:rPr>
            </w:pPr>
            <w:r w:rsidRPr="007F3363">
              <w:t xml:space="preserve">R$ </w:t>
            </w:r>
            <w:r w:rsidR="009C7F24" w:rsidRPr="007F3363">
              <w:t>1.923.704,34</w:t>
            </w:r>
          </w:p>
        </w:tc>
      </w:tr>
      <w:tr w:rsidR="00C034E2" w:rsidRPr="007F3363" w:rsidTr="00C034E2">
        <w:trPr>
          <w:trHeight w:val="300"/>
        </w:trPr>
        <w:tc>
          <w:tcPr>
            <w:tcW w:w="7812" w:type="dxa"/>
            <w:tcBorders>
              <w:top w:val="nil"/>
              <w:left w:val="nil"/>
              <w:bottom w:val="single" w:sz="4" w:space="0" w:color="auto"/>
              <w:right w:val="nil"/>
            </w:tcBorders>
            <w:shd w:val="clear" w:color="auto" w:fill="auto"/>
            <w:noWrap/>
            <w:vAlign w:val="bottom"/>
            <w:hideMark/>
          </w:tcPr>
          <w:p w:rsidR="00C034E2" w:rsidRPr="007F3363" w:rsidRDefault="00C034E2" w:rsidP="00CD207C">
            <w:pPr>
              <w:spacing w:after="0"/>
              <w:jc w:val="left"/>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 xml:space="preserve">Provisão matemática dos benefícios concedidos </w:t>
            </w:r>
          </w:p>
        </w:tc>
        <w:tc>
          <w:tcPr>
            <w:tcW w:w="2284" w:type="dxa"/>
            <w:gridSpan w:val="2"/>
            <w:tcBorders>
              <w:top w:val="nil"/>
              <w:left w:val="nil"/>
              <w:bottom w:val="single" w:sz="4" w:space="0" w:color="auto"/>
              <w:right w:val="nil"/>
            </w:tcBorders>
            <w:shd w:val="clear" w:color="auto" w:fill="auto"/>
            <w:noWrap/>
            <w:vAlign w:val="bottom"/>
            <w:hideMark/>
          </w:tcPr>
          <w:p w:rsidR="00C034E2" w:rsidRPr="007F3363" w:rsidRDefault="002965D4" w:rsidP="00CD207C">
            <w:pPr>
              <w:spacing w:after="0"/>
              <w:jc w:val="right"/>
              <w:rPr>
                <w:rFonts w:asciiTheme="minorHAnsi" w:eastAsia="Times New Roman" w:hAnsiTheme="minorHAnsi" w:cs="Times New Roman"/>
                <w:lang w:eastAsia="en-US"/>
              </w:rPr>
            </w:pPr>
            <w:r w:rsidRPr="007F3363">
              <w:t xml:space="preserve">R$ </w:t>
            </w:r>
            <w:r w:rsidR="00013D7A" w:rsidRPr="007F3363">
              <w:t>20.155.783,00</w:t>
            </w:r>
          </w:p>
        </w:tc>
      </w:tr>
      <w:tr w:rsidR="00C034E2" w:rsidRPr="007F3363" w:rsidTr="00C034E2">
        <w:trPr>
          <w:trHeight w:val="300"/>
        </w:trPr>
        <w:tc>
          <w:tcPr>
            <w:tcW w:w="7812" w:type="dxa"/>
            <w:tcBorders>
              <w:top w:val="nil"/>
              <w:left w:val="nil"/>
              <w:bottom w:val="single" w:sz="4" w:space="0" w:color="auto"/>
              <w:right w:val="nil"/>
            </w:tcBorders>
            <w:shd w:val="clear" w:color="auto" w:fill="auto"/>
            <w:noWrap/>
            <w:vAlign w:val="bottom"/>
            <w:hideMark/>
          </w:tcPr>
          <w:p w:rsidR="00C034E2" w:rsidRPr="007F3363" w:rsidRDefault="00C034E2" w:rsidP="00CD207C">
            <w:pPr>
              <w:spacing w:after="0"/>
              <w:jc w:val="left"/>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 xml:space="preserve">Provisão matemática dos benefícios a conceder </w:t>
            </w:r>
          </w:p>
        </w:tc>
        <w:tc>
          <w:tcPr>
            <w:tcW w:w="2284" w:type="dxa"/>
            <w:gridSpan w:val="2"/>
            <w:tcBorders>
              <w:top w:val="nil"/>
              <w:left w:val="nil"/>
              <w:bottom w:val="single" w:sz="4" w:space="0" w:color="auto"/>
              <w:right w:val="nil"/>
            </w:tcBorders>
            <w:shd w:val="clear" w:color="auto" w:fill="auto"/>
            <w:noWrap/>
            <w:vAlign w:val="bottom"/>
            <w:hideMark/>
          </w:tcPr>
          <w:p w:rsidR="00C034E2" w:rsidRPr="007F3363" w:rsidRDefault="002965D4" w:rsidP="00CD207C">
            <w:pPr>
              <w:spacing w:after="0"/>
              <w:jc w:val="right"/>
              <w:rPr>
                <w:rFonts w:asciiTheme="minorHAnsi" w:eastAsia="Times New Roman" w:hAnsiTheme="minorHAnsi" w:cs="Times New Roman"/>
                <w:lang w:eastAsia="en-US"/>
              </w:rPr>
            </w:pPr>
            <w:r w:rsidRPr="007F3363">
              <w:t xml:space="preserve">R$ </w:t>
            </w:r>
            <w:r w:rsidR="00013D7A" w:rsidRPr="007F3363">
              <w:t>24.828.809,00</w:t>
            </w:r>
          </w:p>
        </w:tc>
      </w:tr>
      <w:tr w:rsidR="00C034E2" w:rsidRPr="007F3363" w:rsidTr="00C034E2">
        <w:trPr>
          <w:trHeight w:val="300"/>
        </w:trPr>
        <w:tc>
          <w:tcPr>
            <w:tcW w:w="7812" w:type="dxa"/>
            <w:tcBorders>
              <w:top w:val="nil"/>
              <w:left w:val="nil"/>
              <w:bottom w:val="single" w:sz="4" w:space="0" w:color="auto"/>
              <w:right w:val="nil"/>
            </w:tcBorders>
            <w:shd w:val="clear" w:color="auto" w:fill="auto"/>
            <w:noWrap/>
            <w:vAlign w:val="bottom"/>
            <w:hideMark/>
          </w:tcPr>
          <w:p w:rsidR="00C034E2" w:rsidRPr="007F3363" w:rsidRDefault="00C034E2" w:rsidP="00CD207C">
            <w:pPr>
              <w:spacing w:after="0"/>
              <w:jc w:val="left"/>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Provisão matemática para cobert. de insufic. financ. asseg. por lei</w:t>
            </w:r>
          </w:p>
        </w:tc>
        <w:tc>
          <w:tcPr>
            <w:tcW w:w="2284" w:type="dxa"/>
            <w:gridSpan w:val="2"/>
            <w:tcBorders>
              <w:top w:val="nil"/>
              <w:left w:val="nil"/>
              <w:bottom w:val="single" w:sz="4" w:space="0" w:color="auto"/>
              <w:right w:val="nil"/>
            </w:tcBorders>
            <w:shd w:val="clear" w:color="auto" w:fill="auto"/>
            <w:noWrap/>
            <w:vAlign w:val="bottom"/>
            <w:hideMark/>
          </w:tcPr>
          <w:p w:rsidR="00C034E2" w:rsidRPr="007F3363" w:rsidRDefault="002965D4" w:rsidP="00CD207C">
            <w:pPr>
              <w:spacing w:after="0"/>
              <w:jc w:val="right"/>
              <w:rPr>
                <w:rFonts w:asciiTheme="minorHAnsi" w:eastAsia="Times New Roman" w:hAnsiTheme="minorHAnsi" w:cs="Times New Roman"/>
                <w:lang w:eastAsia="en-US"/>
              </w:rPr>
            </w:pPr>
            <w:r w:rsidRPr="007F3363">
              <w:t xml:space="preserve">R$ </w:t>
            </w:r>
            <w:r w:rsidR="00013D7A" w:rsidRPr="007F3363">
              <w:t>51.117.289,07</w:t>
            </w:r>
          </w:p>
        </w:tc>
      </w:tr>
      <w:tr w:rsidR="00C034E2" w:rsidRPr="007F3363" w:rsidTr="00C034E2">
        <w:trPr>
          <w:trHeight w:val="300"/>
        </w:trPr>
        <w:tc>
          <w:tcPr>
            <w:tcW w:w="7812" w:type="dxa"/>
            <w:tcBorders>
              <w:top w:val="nil"/>
              <w:left w:val="nil"/>
              <w:bottom w:val="single" w:sz="4" w:space="0" w:color="auto"/>
              <w:right w:val="nil"/>
            </w:tcBorders>
            <w:shd w:val="clear" w:color="auto" w:fill="auto"/>
            <w:noWrap/>
            <w:vAlign w:val="bottom"/>
            <w:hideMark/>
          </w:tcPr>
          <w:p w:rsidR="00C034E2" w:rsidRPr="007F3363" w:rsidRDefault="00C034E2" w:rsidP="00CD207C">
            <w:pPr>
              <w:spacing w:after="0"/>
              <w:jc w:val="left"/>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RESULTADO ATUARIAL</w:t>
            </w:r>
          </w:p>
        </w:tc>
        <w:tc>
          <w:tcPr>
            <w:tcW w:w="2284" w:type="dxa"/>
            <w:gridSpan w:val="2"/>
            <w:tcBorders>
              <w:top w:val="nil"/>
              <w:left w:val="nil"/>
              <w:bottom w:val="single" w:sz="4" w:space="0" w:color="auto"/>
              <w:right w:val="nil"/>
            </w:tcBorders>
            <w:shd w:val="clear" w:color="auto" w:fill="auto"/>
            <w:noWrap/>
            <w:vAlign w:val="bottom"/>
            <w:hideMark/>
          </w:tcPr>
          <w:p w:rsidR="00C034E2" w:rsidRPr="007F3363" w:rsidRDefault="00C260BB" w:rsidP="00C260BB">
            <w:pPr>
              <w:spacing w:after="0"/>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w:t>
            </w:r>
            <w:r w:rsidR="002965D4" w:rsidRPr="007F3363">
              <w:t>R$</w:t>
            </w:r>
            <w:r w:rsidRPr="007F3363">
              <w:rPr>
                <w:rFonts w:asciiTheme="minorHAnsi" w:hAnsiTheme="minorHAnsi"/>
                <w:b/>
              </w:rPr>
              <w:t>31.146.192,70</w:t>
            </w:r>
            <w:r w:rsidR="002965D4" w:rsidRPr="007F3363">
              <w:rPr>
                <w:b/>
              </w:rPr>
              <w:t>)</w:t>
            </w:r>
          </w:p>
        </w:tc>
      </w:tr>
    </w:tbl>
    <w:p w:rsidR="00C034E2" w:rsidRPr="007F3363" w:rsidRDefault="00C034E2" w:rsidP="00CD207C">
      <w:pPr>
        <w:ind w:firstLine="720"/>
        <w:rPr>
          <w:rFonts w:asciiTheme="minorHAnsi" w:hAnsiTheme="minorHAnsi"/>
        </w:rPr>
      </w:pPr>
    </w:p>
    <w:p w:rsidR="001757E3" w:rsidRPr="007F3363" w:rsidRDefault="001757E3" w:rsidP="00CD207C">
      <w:pPr>
        <w:ind w:firstLine="720"/>
        <w:rPr>
          <w:rFonts w:asciiTheme="minorHAnsi" w:hAnsiTheme="minorHAnsi"/>
        </w:rPr>
      </w:pPr>
      <w:r w:rsidRPr="007F3363">
        <w:rPr>
          <w:rFonts w:asciiTheme="minorHAnsi" w:hAnsiTheme="minorHAnsi"/>
        </w:rPr>
        <w:t xml:space="preserve">De acordo com a idade média dos servidores, o horizonte de investimento do </w:t>
      </w:r>
      <w:r w:rsidR="001E3220" w:rsidRPr="007F3363">
        <w:rPr>
          <w:rFonts w:asciiTheme="minorHAnsi" w:hAnsiTheme="minorHAnsi"/>
        </w:rPr>
        <w:t xml:space="preserve">RPPS – </w:t>
      </w:r>
      <w:r w:rsidR="0073786F" w:rsidRPr="007F3363">
        <w:rPr>
          <w:rFonts w:asciiTheme="minorHAnsi" w:hAnsiTheme="minorHAnsi"/>
        </w:rPr>
        <w:t>São Nicolau</w:t>
      </w:r>
      <w:r w:rsidR="00954ABD" w:rsidRPr="007F3363">
        <w:rPr>
          <w:rFonts w:asciiTheme="minorHAnsi" w:hAnsiTheme="minorHAnsi"/>
        </w:rPr>
        <w:t xml:space="preserve"> </w:t>
      </w:r>
      <w:r w:rsidRPr="007F3363">
        <w:rPr>
          <w:rFonts w:asciiTheme="minorHAnsi" w:hAnsiTheme="minorHAnsi"/>
        </w:rPr>
        <w:t xml:space="preserve">é de longo prazo. </w:t>
      </w:r>
    </w:p>
    <w:p w:rsidR="001757E3" w:rsidRPr="007F3363" w:rsidRDefault="001757E3" w:rsidP="00CD207C">
      <w:pPr>
        <w:ind w:firstLine="720"/>
        <w:rPr>
          <w:rFonts w:asciiTheme="minorHAnsi" w:hAnsiTheme="minorHAnsi"/>
        </w:rPr>
      </w:pPr>
      <w:r w:rsidRPr="007F3363">
        <w:rPr>
          <w:rFonts w:asciiTheme="minorHAnsi" w:hAnsiTheme="minorHAnsi"/>
        </w:rPr>
        <w:t>Geralmente, quanto maior for o horizonte de um investimento, maior tende a ser a capacidade de um investidor tolerar riscos, visto que eventuais perdas poderão ser recuperadas nos próximos anos. Logo, maior também seria a possibilidade de um gestor obter melhores retornos.</w:t>
      </w:r>
    </w:p>
    <w:p w:rsidR="001757E3" w:rsidRPr="007F3363" w:rsidRDefault="001757E3" w:rsidP="00CD207C">
      <w:pPr>
        <w:ind w:firstLine="720"/>
        <w:rPr>
          <w:rFonts w:asciiTheme="minorHAnsi" w:hAnsiTheme="minorHAnsi"/>
        </w:rPr>
      </w:pPr>
      <w:r w:rsidRPr="007F3363">
        <w:rPr>
          <w:rFonts w:asciiTheme="minorHAnsi" w:hAnsiTheme="minorHAnsi"/>
        </w:rPr>
        <w:t>Tolerância ao risco pode ser definida como a capacidade financeira de um investidor agregada a disposição que o mesmo tem de assumir riscos afim de alcançar seus objetivos de retorno.</w:t>
      </w:r>
    </w:p>
    <w:p w:rsidR="001757E3" w:rsidRPr="007F3363" w:rsidRDefault="001757E3" w:rsidP="00CD207C">
      <w:pPr>
        <w:ind w:firstLine="720"/>
        <w:rPr>
          <w:rFonts w:asciiTheme="minorHAnsi" w:hAnsiTheme="minorHAnsi"/>
        </w:rPr>
      </w:pPr>
      <w:r w:rsidRPr="007F3363">
        <w:rPr>
          <w:rFonts w:asciiTheme="minorHAnsi" w:hAnsiTheme="minorHAnsi"/>
        </w:rPr>
        <w:t xml:space="preserve">Seguindo a mesma lógica, temos que quanto maior for a Reserva Atuarial (Ativo Atuarial – Passivo Atuarial) de um fundo RPPS, maior tende a ser a capacidade de o mesmo tolerar riscos mais elevados, visto que neste caso o fundo teria uma reserva que poderia ser usada para compensar eventuais perdas. </w:t>
      </w:r>
    </w:p>
    <w:p w:rsidR="00DC6208" w:rsidRPr="007F3363" w:rsidRDefault="001757E3" w:rsidP="00CD207C">
      <w:pPr>
        <w:ind w:firstLine="720"/>
      </w:pPr>
      <w:r w:rsidRPr="007F3363">
        <w:rPr>
          <w:rFonts w:asciiTheme="minorHAnsi" w:hAnsiTheme="minorHAnsi"/>
        </w:rPr>
        <w:t>De acordo com o Relatório de Rea</w:t>
      </w:r>
      <w:r w:rsidR="00A66AFA" w:rsidRPr="007F3363">
        <w:rPr>
          <w:rFonts w:asciiTheme="minorHAnsi" w:hAnsiTheme="minorHAnsi"/>
        </w:rPr>
        <w:t>valiação Atuarial do ano de 201</w:t>
      </w:r>
      <w:r w:rsidR="00456590" w:rsidRPr="007F3363">
        <w:rPr>
          <w:rFonts w:asciiTheme="minorHAnsi" w:hAnsiTheme="minorHAnsi"/>
        </w:rPr>
        <w:t>8</w:t>
      </w:r>
      <w:r w:rsidRPr="007F3363">
        <w:rPr>
          <w:rFonts w:asciiTheme="minorHAnsi" w:hAnsiTheme="minorHAnsi"/>
        </w:rPr>
        <w:t>, o resultado atu</w:t>
      </w:r>
      <w:r w:rsidR="00C034E2" w:rsidRPr="007F3363">
        <w:rPr>
          <w:rFonts w:asciiTheme="minorHAnsi" w:hAnsiTheme="minorHAnsi"/>
        </w:rPr>
        <w:t xml:space="preserve">arial do Plano Previdenciário é </w:t>
      </w:r>
      <w:r w:rsidR="005E3749" w:rsidRPr="007F3363">
        <w:rPr>
          <w:rFonts w:asciiTheme="minorHAnsi" w:hAnsiTheme="minorHAnsi"/>
        </w:rPr>
        <w:t>desf</w:t>
      </w:r>
      <w:r w:rsidRPr="007F3363">
        <w:rPr>
          <w:rFonts w:asciiTheme="minorHAnsi" w:hAnsiTheme="minorHAnsi"/>
        </w:rPr>
        <w:t xml:space="preserve">avorável. A avaliação atuarial projeta um </w:t>
      </w:r>
      <w:r w:rsidR="00840697" w:rsidRPr="007F3363">
        <w:rPr>
          <w:rFonts w:asciiTheme="minorHAnsi" w:hAnsiTheme="minorHAnsi"/>
        </w:rPr>
        <w:t>déficit</w:t>
      </w:r>
      <w:r w:rsidR="005047AD" w:rsidRPr="007F3363">
        <w:rPr>
          <w:rFonts w:asciiTheme="minorHAnsi" w:hAnsiTheme="minorHAnsi"/>
        </w:rPr>
        <w:t xml:space="preserve"> </w:t>
      </w:r>
      <w:r w:rsidR="005E3749" w:rsidRPr="007F3363">
        <w:rPr>
          <w:rFonts w:asciiTheme="minorHAnsi" w:hAnsiTheme="minorHAnsi"/>
        </w:rPr>
        <w:t xml:space="preserve">atuarial </w:t>
      </w:r>
      <w:r w:rsidRPr="007F3363">
        <w:rPr>
          <w:rFonts w:asciiTheme="minorHAnsi" w:hAnsiTheme="minorHAnsi"/>
        </w:rPr>
        <w:t xml:space="preserve">no valor de </w:t>
      </w:r>
      <w:r w:rsidR="00E67260" w:rsidRPr="007F3363">
        <w:rPr>
          <w:rFonts w:asciiTheme="minorHAnsi" w:hAnsiTheme="minorHAnsi"/>
        </w:rPr>
        <w:t>-</w:t>
      </w:r>
      <w:r w:rsidR="00DC6208" w:rsidRPr="007F3363">
        <w:t xml:space="preserve">R$ </w:t>
      </w:r>
      <w:r w:rsidR="00271B76" w:rsidRPr="007F3363">
        <w:rPr>
          <w:rFonts w:asciiTheme="minorHAnsi" w:hAnsiTheme="minorHAnsi"/>
        </w:rPr>
        <w:t>31.146.192,70</w:t>
      </w:r>
    </w:p>
    <w:p w:rsidR="001757E3" w:rsidRPr="007F3363" w:rsidRDefault="001757E3" w:rsidP="00CD207C">
      <w:pPr>
        <w:ind w:firstLine="720"/>
        <w:rPr>
          <w:rFonts w:asciiTheme="minorHAnsi" w:hAnsiTheme="minorHAnsi"/>
        </w:rPr>
      </w:pPr>
      <w:r w:rsidRPr="007F3363">
        <w:rPr>
          <w:rFonts w:asciiTheme="minorHAnsi" w:hAnsiTheme="minorHAnsi"/>
        </w:rPr>
        <w:lastRenderedPageBreak/>
        <w:t xml:space="preserve">Acrescenta-se que o Comitê de Investimentos não </w:t>
      </w:r>
      <w:proofErr w:type="gramStart"/>
      <w:r w:rsidRPr="007F3363">
        <w:rPr>
          <w:rFonts w:asciiTheme="minorHAnsi" w:hAnsiTheme="minorHAnsi"/>
        </w:rPr>
        <w:t>demonstra-se</w:t>
      </w:r>
      <w:proofErr w:type="gramEnd"/>
      <w:r w:rsidRPr="007F3363">
        <w:rPr>
          <w:rFonts w:asciiTheme="minorHAnsi" w:hAnsiTheme="minorHAnsi"/>
        </w:rPr>
        <w:t xml:space="preserve"> confortável com elevadas exposições em ativos de renda fixa ou variável de alta volatilidade. </w:t>
      </w:r>
    </w:p>
    <w:p w:rsidR="00A333D9" w:rsidRPr="007F3363" w:rsidRDefault="001757E3" w:rsidP="00CD207C">
      <w:pPr>
        <w:ind w:firstLine="720"/>
        <w:rPr>
          <w:rFonts w:asciiTheme="minorHAnsi" w:hAnsiTheme="minorHAnsi"/>
        </w:rPr>
      </w:pPr>
      <w:r w:rsidRPr="007F3363">
        <w:rPr>
          <w:rFonts w:asciiTheme="minorHAnsi" w:hAnsiTheme="minorHAnsi"/>
        </w:rPr>
        <w:t>O Fundo tem capacidade financeira</w:t>
      </w:r>
      <w:r w:rsidR="00D50813" w:rsidRPr="007F3363">
        <w:rPr>
          <w:rFonts w:asciiTheme="minorHAnsi" w:hAnsiTheme="minorHAnsi"/>
        </w:rPr>
        <w:t xml:space="preserve"> </w:t>
      </w:r>
      <w:r w:rsidRPr="007F3363">
        <w:rPr>
          <w:rFonts w:asciiTheme="minorHAnsi" w:hAnsiTheme="minorHAnsi"/>
        </w:rPr>
        <w:t>baixa</w:t>
      </w:r>
      <w:r w:rsidR="00D50813" w:rsidRPr="007F3363">
        <w:rPr>
          <w:rFonts w:asciiTheme="minorHAnsi" w:hAnsiTheme="minorHAnsi"/>
        </w:rPr>
        <w:t xml:space="preserve"> para tolerar prejuízos</w:t>
      </w:r>
      <w:r w:rsidRPr="007F3363">
        <w:rPr>
          <w:rFonts w:asciiTheme="minorHAnsi" w:hAnsiTheme="minorHAnsi"/>
        </w:rPr>
        <w:t xml:space="preserve">, </w:t>
      </w:r>
      <w:r w:rsidR="00D50813" w:rsidRPr="007F3363">
        <w:rPr>
          <w:rFonts w:asciiTheme="minorHAnsi" w:hAnsiTheme="minorHAnsi"/>
        </w:rPr>
        <w:t>bem</w:t>
      </w:r>
      <w:r w:rsidRPr="007F3363">
        <w:rPr>
          <w:rFonts w:asciiTheme="minorHAnsi" w:hAnsiTheme="minorHAnsi"/>
        </w:rPr>
        <w:t xml:space="preserve"> baixa tolerância ao risco. Seu horizonte de investimento é de médio à longo prazo. Seu perfil de investidor é conservador.</w:t>
      </w:r>
    </w:p>
    <w:p w:rsidR="0057394B" w:rsidRPr="007F3363" w:rsidRDefault="0057394B" w:rsidP="00CD207C">
      <w:pPr>
        <w:ind w:firstLine="720"/>
        <w:rPr>
          <w:rFonts w:asciiTheme="minorHAnsi" w:hAnsiTheme="minorHAnsi"/>
        </w:rPr>
      </w:pPr>
    </w:p>
    <w:p w:rsidR="00A54F11" w:rsidRPr="007F3363" w:rsidRDefault="00E66213" w:rsidP="00CD207C">
      <w:pPr>
        <w:pStyle w:val="Ttulo1"/>
        <w:rPr>
          <w:rFonts w:asciiTheme="minorHAnsi" w:hAnsiTheme="minorHAnsi"/>
          <w:sz w:val="24"/>
          <w:szCs w:val="24"/>
          <w:lang w:eastAsia="en-US"/>
        </w:rPr>
      </w:pPr>
      <w:bookmarkStart w:id="9" w:name="_Toc494961901"/>
      <w:r w:rsidRPr="007F3363">
        <w:rPr>
          <w:rFonts w:asciiTheme="minorHAnsi" w:hAnsiTheme="minorHAnsi"/>
          <w:sz w:val="24"/>
          <w:szCs w:val="24"/>
          <w:lang w:eastAsia="en-US"/>
        </w:rPr>
        <w:t>Funcionamento</w:t>
      </w:r>
      <w:r w:rsidR="001C57A4" w:rsidRPr="007F3363">
        <w:rPr>
          <w:rFonts w:asciiTheme="minorHAnsi" w:hAnsiTheme="minorHAnsi"/>
          <w:sz w:val="24"/>
          <w:szCs w:val="24"/>
          <w:lang w:eastAsia="en-US"/>
        </w:rPr>
        <w:t xml:space="preserve"> d</w:t>
      </w:r>
      <w:r w:rsidR="00F07176" w:rsidRPr="007F3363">
        <w:rPr>
          <w:rFonts w:asciiTheme="minorHAnsi" w:hAnsiTheme="minorHAnsi"/>
          <w:sz w:val="24"/>
          <w:szCs w:val="24"/>
          <w:lang w:eastAsia="en-US"/>
        </w:rPr>
        <w:t>o</w:t>
      </w:r>
      <w:r w:rsidR="001C57A4" w:rsidRPr="007F3363">
        <w:rPr>
          <w:rFonts w:asciiTheme="minorHAnsi" w:hAnsiTheme="minorHAnsi"/>
          <w:sz w:val="24"/>
          <w:szCs w:val="24"/>
          <w:lang w:eastAsia="en-US"/>
        </w:rPr>
        <w:t xml:space="preserve"> F</w:t>
      </w:r>
      <w:r w:rsidR="002A505C" w:rsidRPr="007F3363">
        <w:rPr>
          <w:rFonts w:asciiTheme="minorHAnsi" w:hAnsiTheme="minorHAnsi"/>
          <w:sz w:val="24"/>
          <w:szCs w:val="24"/>
          <w:lang w:eastAsia="en-US"/>
        </w:rPr>
        <w:t>undo</w:t>
      </w:r>
      <w:bookmarkEnd w:id="9"/>
    </w:p>
    <w:p w:rsidR="00132249" w:rsidRPr="007F3363" w:rsidRDefault="00132249" w:rsidP="00CD207C">
      <w:pPr>
        <w:pStyle w:val="Ttulo2"/>
        <w:rPr>
          <w:rFonts w:asciiTheme="minorHAnsi" w:hAnsiTheme="minorHAnsi"/>
          <w:color w:val="auto"/>
          <w:sz w:val="24"/>
          <w:szCs w:val="24"/>
          <w:lang w:eastAsia="en-US"/>
        </w:rPr>
      </w:pPr>
      <w:bookmarkStart w:id="10" w:name="_Toc494961902"/>
      <w:r w:rsidRPr="007F3363">
        <w:rPr>
          <w:rFonts w:asciiTheme="minorHAnsi" w:hAnsiTheme="minorHAnsi"/>
          <w:color w:val="auto"/>
          <w:sz w:val="24"/>
          <w:szCs w:val="24"/>
          <w:lang w:eastAsia="en-US"/>
        </w:rPr>
        <w:t>Modelo de Gestão</w:t>
      </w:r>
      <w:bookmarkEnd w:id="10"/>
    </w:p>
    <w:p w:rsidR="00132249" w:rsidRPr="007F3363" w:rsidRDefault="00132249" w:rsidP="00CD207C">
      <w:pPr>
        <w:ind w:firstLine="720"/>
        <w:rPr>
          <w:rFonts w:asciiTheme="minorHAnsi" w:hAnsiTheme="minorHAnsi" w:cs="Times"/>
          <w:lang w:eastAsia="en-US"/>
        </w:rPr>
      </w:pPr>
      <w:r w:rsidRPr="007F3363">
        <w:rPr>
          <w:rFonts w:asciiTheme="minorHAnsi" w:hAnsiTheme="minorHAnsi"/>
          <w:lang w:eastAsia="en-US"/>
        </w:rPr>
        <w:t xml:space="preserve">Conforme o Art.15, § 1o, I da Resolução 3.922/2010 a gestão das aplicações dos RPPS poderá ser própria, por entidade autorizada e credenciada ou mista. </w:t>
      </w:r>
    </w:p>
    <w:p w:rsidR="00132249" w:rsidRPr="007F3363" w:rsidRDefault="00132249" w:rsidP="00CD207C">
      <w:pPr>
        <w:ind w:firstLine="720"/>
        <w:rPr>
          <w:rFonts w:asciiTheme="minorHAnsi" w:hAnsiTheme="minorHAnsi"/>
          <w:lang w:eastAsia="en-US"/>
        </w:rPr>
      </w:pPr>
      <w:r w:rsidRPr="007F3363">
        <w:rPr>
          <w:rFonts w:asciiTheme="minorHAnsi" w:hAnsiTheme="minorHAnsi"/>
        </w:rPr>
        <w:t xml:space="preserve">Em atendimento a norma, </w:t>
      </w:r>
      <w:r w:rsidR="00F07176" w:rsidRPr="007F3363">
        <w:rPr>
          <w:rFonts w:asciiTheme="minorHAnsi" w:hAnsiTheme="minorHAnsi"/>
        </w:rPr>
        <w:t xml:space="preserve">o </w:t>
      </w:r>
      <w:r w:rsidR="001E3220" w:rsidRPr="007F3363">
        <w:rPr>
          <w:rFonts w:asciiTheme="minorHAnsi" w:hAnsiTheme="minorHAnsi"/>
        </w:rPr>
        <w:t xml:space="preserve">RPPS – </w:t>
      </w:r>
      <w:r w:rsidR="0073786F" w:rsidRPr="007F3363">
        <w:rPr>
          <w:rFonts w:asciiTheme="minorHAnsi" w:hAnsiTheme="minorHAnsi"/>
        </w:rPr>
        <w:t>São Nicolau</w:t>
      </w:r>
      <w:r w:rsidR="00B57CF1" w:rsidRPr="007F3363">
        <w:rPr>
          <w:rFonts w:asciiTheme="minorHAnsi" w:hAnsiTheme="minorHAnsi"/>
          <w:lang w:eastAsia="en-US"/>
        </w:rPr>
        <w:t xml:space="preserve"> </w:t>
      </w:r>
      <w:r w:rsidRPr="007F3363">
        <w:rPr>
          <w:rFonts w:asciiTheme="minorHAnsi" w:hAnsiTheme="minorHAnsi"/>
          <w:lang w:eastAsia="en-US"/>
        </w:rPr>
        <w:t>adotará o modelo de gestão própria de recursos.</w:t>
      </w:r>
    </w:p>
    <w:p w:rsidR="00132249" w:rsidRPr="007F3363" w:rsidRDefault="00132249" w:rsidP="00CD207C">
      <w:pPr>
        <w:ind w:firstLine="720"/>
        <w:rPr>
          <w:rFonts w:asciiTheme="minorHAnsi" w:hAnsiTheme="minorHAnsi" w:cs="Times"/>
          <w:lang w:eastAsia="en-US"/>
        </w:rPr>
      </w:pPr>
      <w:r w:rsidRPr="007F3363">
        <w:rPr>
          <w:rFonts w:asciiTheme="minorHAnsi" w:hAnsiTheme="minorHAnsi"/>
          <w:lang w:eastAsia="en-US"/>
        </w:rPr>
        <w:t xml:space="preserve">Caracteriza-se como gestão própria dos recursos, quando o RPPS realiza diretamente a execução da política de investimentos de sua carteira, decidindo sobre as alocações dos recursos, respeitados os parâmetros da legislação. </w:t>
      </w:r>
    </w:p>
    <w:p w:rsidR="00132249" w:rsidRPr="007F3363" w:rsidRDefault="00132249" w:rsidP="00CD207C">
      <w:pPr>
        <w:ind w:firstLine="720"/>
        <w:rPr>
          <w:rFonts w:asciiTheme="minorHAnsi" w:hAnsiTheme="minorHAnsi"/>
          <w:lang w:eastAsia="en-US"/>
        </w:rPr>
      </w:pPr>
      <w:r w:rsidRPr="007F3363">
        <w:rPr>
          <w:rFonts w:asciiTheme="minorHAnsi" w:hAnsiTheme="minorHAnsi"/>
          <w:lang w:eastAsia="en-US"/>
        </w:rPr>
        <w:t xml:space="preserve">Conforme estabelecido pela </w:t>
      </w:r>
      <w:r w:rsidRPr="007F3363">
        <w:rPr>
          <w:rFonts w:asciiTheme="minorHAnsi" w:hAnsiTheme="minorHAnsi"/>
        </w:rPr>
        <w:t>Portaria MPS n° 440, de 09 de Outubro de 2013, caso o fundo opte pelo modelo de gestão própria,</w:t>
      </w:r>
      <w:r w:rsidRPr="007F3363">
        <w:rPr>
          <w:rFonts w:asciiTheme="minorHAnsi" w:hAnsiTheme="minorHAnsi"/>
          <w:b/>
          <w:bCs/>
          <w:lang w:eastAsia="en-US"/>
        </w:rPr>
        <w:t xml:space="preserve"> </w:t>
      </w:r>
      <w:r w:rsidRPr="007F3363">
        <w:rPr>
          <w:rFonts w:asciiTheme="minorHAnsi" w:hAnsiTheme="minorHAnsi"/>
          <w:lang w:eastAsia="en-US"/>
        </w:rPr>
        <w:t>o responsável pela gestão dos recursos do RPPS deverá ser pessoa física vinculada ao ente federativo ou à unidade gestora do regime como servidor titular de cargo efetivo ou de livre nomeação, e apresentar-se formalmente designado para a função por ato da autoridade competente.</w:t>
      </w:r>
    </w:p>
    <w:p w:rsidR="00132249" w:rsidRPr="007F3363" w:rsidRDefault="00132249" w:rsidP="00CD207C">
      <w:pPr>
        <w:ind w:firstLine="720"/>
        <w:rPr>
          <w:rFonts w:asciiTheme="minorHAnsi" w:hAnsiTheme="minorHAnsi"/>
          <w:b/>
          <w:lang w:eastAsia="en-US"/>
        </w:rPr>
      </w:pPr>
      <w:r w:rsidRPr="007F3363">
        <w:rPr>
          <w:rFonts w:asciiTheme="minorHAnsi" w:hAnsiTheme="minorHAnsi"/>
          <w:lang w:eastAsia="en-US"/>
        </w:rPr>
        <w:t xml:space="preserve">Estando de acordo com a </w:t>
      </w:r>
      <w:r w:rsidRPr="007F3363">
        <w:rPr>
          <w:rFonts w:asciiTheme="minorHAnsi" w:hAnsiTheme="minorHAnsi"/>
        </w:rPr>
        <w:t xml:space="preserve">Portaria n° 440, </w:t>
      </w:r>
      <w:r w:rsidR="002A505C" w:rsidRPr="007F3363">
        <w:rPr>
          <w:rFonts w:asciiTheme="minorHAnsi" w:hAnsiTheme="minorHAnsi"/>
        </w:rPr>
        <w:t>o Fundo</w:t>
      </w:r>
      <w:r w:rsidRPr="007F3363">
        <w:rPr>
          <w:rFonts w:asciiTheme="minorHAnsi" w:hAnsiTheme="minorHAnsi"/>
        </w:rPr>
        <w:t xml:space="preserve"> dispõe d</w:t>
      </w:r>
      <w:r w:rsidR="00F07176" w:rsidRPr="007F3363">
        <w:rPr>
          <w:rFonts w:asciiTheme="minorHAnsi" w:hAnsiTheme="minorHAnsi"/>
        </w:rPr>
        <w:t>o servidor</w:t>
      </w:r>
      <w:r w:rsidRPr="007F3363">
        <w:rPr>
          <w:rFonts w:asciiTheme="minorHAnsi" w:hAnsiTheme="minorHAnsi"/>
        </w:rPr>
        <w:t xml:space="preserve"> de carreira devidamente certificados com </w:t>
      </w:r>
      <w:r w:rsidRPr="007F3363">
        <w:rPr>
          <w:rFonts w:asciiTheme="minorHAnsi" w:hAnsiTheme="minorHAnsi"/>
          <w:b/>
        </w:rPr>
        <w:t>C</w:t>
      </w:r>
      <w:r w:rsidR="006E65CC" w:rsidRPr="007F3363">
        <w:rPr>
          <w:rFonts w:asciiTheme="minorHAnsi" w:hAnsiTheme="minorHAnsi"/>
          <w:b/>
        </w:rPr>
        <w:t>GRPPS</w:t>
      </w:r>
      <w:r w:rsidR="00D50813" w:rsidRPr="007F3363">
        <w:rPr>
          <w:rFonts w:asciiTheme="minorHAnsi" w:hAnsiTheme="minorHAnsi"/>
          <w:b/>
        </w:rPr>
        <w:t xml:space="preserve"> </w:t>
      </w:r>
      <w:r w:rsidRPr="007F3363">
        <w:rPr>
          <w:rFonts w:asciiTheme="minorHAnsi" w:hAnsiTheme="minorHAnsi"/>
        </w:rPr>
        <w:t xml:space="preserve">pelo </w:t>
      </w:r>
      <w:r w:rsidR="00F07176" w:rsidRPr="007F3363">
        <w:rPr>
          <w:rFonts w:asciiTheme="minorHAnsi" w:hAnsiTheme="minorHAnsi"/>
        </w:rPr>
        <w:t>órgão</w:t>
      </w:r>
      <w:r w:rsidRPr="007F3363">
        <w:rPr>
          <w:rFonts w:asciiTheme="minorHAnsi" w:hAnsiTheme="minorHAnsi"/>
        </w:rPr>
        <w:t xml:space="preserve"> competente, A</w:t>
      </w:r>
      <w:r w:rsidR="008F488D" w:rsidRPr="007F3363">
        <w:rPr>
          <w:rFonts w:asciiTheme="minorHAnsi" w:hAnsiTheme="minorHAnsi"/>
        </w:rPr>
        <w:t>PIMEC</w:t>
      </w:r>
      <w:r w:rsidRPr="007F3363">
        <w:rPr>
          <w:rFonts w:asciiTheme="minorHAnsi" w:hAnsiTheme="minorHAnsi"/>
        </w:rPr>
        <w:t>, o qua</w:t>
      </w:r>
      <w:r w:rsidR="00F07176" w:rsidRPr="007F3363">
        <w:rPr>
          <w:rFonts w:asciiTheme="minorHAnsi" w:hAnsiTheme="minorHAnsi"/>
        </w:rPr>
        <w:t>l</w:t>
      </w:r>
      <w:r w:rsidRPr="007F3363">
        <w:rPr>
          <w:rFonts w:asciiTheme="minorHAnsi" w:hAnsiTheme="minorHAnsi"/>
        </w:rPr>
        <w:t xml:space="preserve"> ser</w:t>
      </w:r>
      <w:r w:rsidR="00F07176" w:rsidRPr="007F3363">
        <w:rPr>
          <w:rFonts w:asciiTheme="minorHAnsi" w:hAnsiTheme="minorHAnsi"/>
        </w:rPr>
        <w:t>á</w:t>
      </w:r>
      <w:r w:rsidRPr="007F3363">
        <w:rPr>
          <w:rFonts w:asciiTheme="minorHAnsi" w:hAnsiTheme="minorHAnsi"/>
        </w:rPr>
        <w:t xml:space="preserve"> responsáve</w:t>
      </w:r>
      <w:r w:rsidR="00F07176" w:rsidRPr="007F3363">
        <w:rPr>
          <w:rFonts w:asciiTheme="minorHAnsi" w:hAnsiTheme="minorHAnsi"/>
        </w:rPr>
        <w:t>l</w:t>
      </w:r>
      <w:r w:rsidRPr="007F3363">
        <w:rPr>
          <w:rFonts w:asciiTheme="minorHAnsi" w:hAnsiTheme="minorHAnsi"/>
        </w:rPr>
        <w:t xml:space="preserve"> pela gestão dos recursos do fundo:</w:t>
      </w:r>
      <w:r w:rsidR="001E3220" w:rsidRPr="007F3363">
        <w:rPr>
          <w:rFonts w:asciiTheme="minorHAnsi" w:hAnsiTheme="minorHAnsi"/>
          <w:b/>
          <w:lang w:eastAsia="en-US"/>
        </w:rPr>
        <w:t xml:space="preserve"> </w:t>
      </w:r>
      <w:r w:rsidR="00F21F96" w:rsidRPr="007F3363">
        <w:rPr>
          <w:rFonts w:asciiTheme="minorHAnsi" w:hAnsiTheme="minorHAnsi"/>
          <w:b/>
          <w:lang w:eastAsia="en-US"/>
        </w:rPr>
        <w:t>LUCIANO GARCIA HOFFMANN</w:t>
      </w:r>
    </w:p>
    <w:p w:rsidR="00132249" w:rsidRPr="007F3363" w:rsidRDefault="00132249" w:rsidP="00CD207C">
      <w:pPr>
        <w:pStyle w:val="Ttulo3"/>
        <w:rPr>
          <w:rFonts w:asciiTheme="minorHAnsi" w:hAnsiTheme="minorHAnsi"/>
          <w:color w:val="auto"/>
          <w:lang w:eastAsia="en-US"/>
        </w:rPr>
      </w:pPr>
      <w:bookmarkStart w:id="11" w:name="_Toc494961903"/>
      <w:r w:rsidRPr="007F3363">
        <w:rPr>
          <w:rFonts w:asciiTheme="minorHAnsi" w:hAnsiTheme="minorHAnsi"/>
          <w:color w:val="auto"/>
          <w:lang w:eastAsia="en-US"/>
        </w:rPr>
        <w:t>Administradores de Carteira de Valores Mobiliários</w:t>
      </w:r>
      <w:bookmarkEnd w:id="11"/>
      <w:r w:rsidRPr="007F3363">
        <w:rPr>
          <w:rFonts w:asciiTheme="minorHAnsi" w:hAnsiTheme="minorHAnsi"/>
          <w:color w:val="auto"/>
          <w:lang w:eastAsia="en-US"/>
        </w:rPr>
        <w:t xml:space="preserve"> </w:t>
      </w:r>
    </w:p>
    <w:p w:rsidR="00132249" w:rsidRPr="007F3363" w:rsidRDefault="00132249" w:rsidP="00CD207C">
      <w:pPr>
        <w:ind w:firstLine="720"/>
        <w:rPr>
          <w:rFonts w:asciiTheme="minorHAnsi" w:hAnsiTheme="minorHAnsi"/>
        </w:rPr>
      </w:pPr>
      <w:r w:rsidRPr="007F3363">
        <w:rPr>
          <w:rFonts w:asciiTheme="minorHAnsi" w:hAnsiTheme="minorHAnsi"/>
        </w:rPr>
        <w:t xml:space="preserve">Fica estabelecido que, </w:t>
      </w:r>
      <w:r w:rsidR="00386DD0" w:rsidRPr="007F3363">
        <w:rPr>
          <w:rFonts w:asciiTheme="minorHAnsi" w:hAnsiTheme="minorHAnsi"/>
        </w:rPr>
        <w:t>havendo</w:t>
      </w:r>
      <w:r w:rsidRPr="007F3363">
        <w:rPr>
          <w:rFonts w:asciiTheme="minorHAnsi" w:hAnsiTheme="minorHAnsi"/>
        </w:rPr>
        <w:t xml:space="preserve"> necessidade futura de contratação de serviço terceirizado de administração de carteira, a mesma deverá ser executada por uma pessoa jurídica devidamente autorizada para exercer a função pela Comissão de Valores Mobiliários – CVM, recaindo conjuntamente aos gestores, comitê de investimentos e conselho administrativo, a definição dos demais critérios de contratação.</w:t>
      </w:r>
    </w:p>
    <w:p w:rsidR="00132249" w:rsidRPr="007F3363" w:rsidRDefault="00132249" w:rsidP="00CD207C">
      <w:pPr>
        <w:pStyle w:val="Ttulo3"/>
        <w:rPr>
          <w:rFonts w:asciiTheme="minorHAnsi" w:hAnsiTheme="minorHAnsi"/>
          <w:color w:val="auto"/>
          <w:lang w:eastAsia="en-US"/>
        </w:rPr>
      </w:pPr>
      <w:bookmarkStart w:id="12" w:name="_Toc494961904"/>
      <w:r w:rsidRPr="007F3363">
        <w:rPr>
          <w:rFonts w:asciiTheme="minorHAnsi" w:hAnsiTheme="minorHAnsi"/>
          <w:color w:val="auto"/>
          <w:lang w:eastAsia="en-US"/>
        </w:rPr>
        <w:lastRenderedPageBreak/>
        <w:t>Contratação de Consultoria</w:t>
      </w:r>
      <w:bookmarkEnd w:id="12"/>
      <w:r w:rsidRPr="007F3363">
        <w:rPr>
          <w:rFonts w:asciiTheme="minorHAnsi" w:hAnsiTheme="minorHAnsi"/>
          <w:color w:val="auto"/>
          <w:lang w:eastAsia="en-US"/>
        </w:rPr>
        <w:t xml:space="preserve"> </w:t>
      </w:r>
    </w:p>
    <w:p w:rsidR="00132249" w:rsidRPr="007F3363" w:rsidRDefault="00132249" w:rsidP="00CD207C">
      <w:pPr>
        <w:ind w:firstLine="720"/>
        <w:rPr>
          <w:rFonts w:asciiTheme="minorHAnsi" w:hAnsiTheme="minorHAnsi" w:cs="Times"/>
          <w:lang w:eastAsia="en-US"/>
        </w:rPr>
      </w:pPr>
      <w:r w:rsidRPr="007F3363">
        <w:rPr>
          <w:rFonts w:asciiTheme="minorHAnsi" w:hAnsiTheme="minorHAnsi"/>
          <w:lang w:eastAsia="en-US"/>
        </w:rPr>
        <w:t xml:space="preserve">Na seleção, acompanhamento e avaliação do desempenho de ativos e de produtos de investimento, </w:t>
      </w:r>
      <w:r w:rsidR="009A6312" w:rsidRPr="007F3363">
        <w:rPr>
          <w:rFonts w:asciiTheme="minorHAnsi" w:hAnsiTheme="minorHAnsi"/>
          <w:lang w:eastAsia="en-US"/>
        </w:rPr>
        <w:t>os responsáveis</w:t>
      </w:r>
      <w:r w:rsidR="00386DD0" w:rsidRPr="007F3363">
        <w:rPr>
          <w:rFonts w:asciiTheme="minorHAnsi" w:hAnsiTheme="minorHAnsi"/>
          <w:lang w:eastAsia="en-US"/>
        </w:rPr>
        <w:t xml:space="preserve"> pela </w:t>
      </w:r>
      <w:r w:rsidRPr="007F3363">
        <w:rPr>
          <w:rFonts w:asciiTheme="minorHAnsi" w:hAnsiTheme="minorHAnsi"/>
          <w:lang w:eastAsia="en-US"/>
        </w:rPr>
        <w:t>gest</w:t>
      </w:r>
      <w:r w:rsidR="00386DD0" w:rsidRPr="007F3363">
        <w:rPr>
          <w:rFonts w:asciiTheme="minorHAnsi" w:hAnsiTheme="minorHAnsi"/>
          <w:lang w:eastAsia="en-US"/>
        </w:rPr>
        <w:t>ão dos recursos</w:t>
      </w:r>
      <w:r w:rsidRPr="007F3363">
        <w:rPr>
          <w:rFonts w:asciiTheme="minorHAnsi" w:hAnsiTheme="minorHAnsi"/>
          <w:lang w:eastAsia="en-US"/>
        </w:rPr>
        <w:t xml:space="preserve"> do </w:t>
      </w:r>
      <w:r w:rsidR="001E3220" w:rsidRPr="007F3363">
        <w:rPr>
          <w:rFonts w:asciiTheme="minorHAnsi" w:hAnsiTheme="minorHAnsi"/>
        </w:rPr>
        <w:t xml:space="preserve">RPPS </w:t>
      </w:r>
      <w:r w:rsidR="00DC6208" w:rsidRPr="007F3363">
        <w:rPr>
          <w:rFonts w:asciiTheme="minorHAnsi" w:hAnsiTheme="minorHAnsi"/>
        </w:rPr>
        <w:t xml:space="preserve">- </w:t>
      </w:r>
      <w:r w:rsidR="0073786F" w:rsidRPr="007F3363">
        <w:rPr>
          <w:rFonts w:asciiTheme="minorHAnsi" w:hAnsiTheme="minorHAnsi"/>
        </w:rPr>
        <w:t>São Nicolau</w:t>
      </w:r>
      <w:r w:rsidR="00954ABD" w:rsidRPr="007F3363">
        <w:rPr>
          <w:rFonts w:asciiTheme="minorHAnsi" w:hAnsiTheme="minorHAnsi"/>
          <w:lang w:eastAsia="en-US"/>
        </w:rPr>
        <w:t xml:space="preserve"> </w:t>
      </w:r>
      <w:r w:rsidRPr="007F3363">
        <w:rPr>
          <w:rFonts w:asciiTheme="minorHAnsi" w:hAnsiTheme="minorHAnsi"/>
          <w:lang w:eastAsia="en-US"/>
        </w:rPr>
        <w:t xml:space="preserve">serão auxiliados por </w:t>
      </w:r>
      <w:r w:rsidR="00386DD0" w:rsidRPr="007F3363">
        <w:rPr>
          <w:rFonts w:asciiTheme="minorHAnsi" w:hAnsiTheme="minorHAnsi"/>
          <w:lang w:eastAsia="en-US"/>
        </w:rPr>
        <w:t xml:space="preserve">uma </w:t>
      </w:r>
      <w:r w:rsidRPr="007F3363">
        <w:rPr>
          <w:rFonts w:asciiTheme="minorHAnsi" w:hAnsiTheme="minorHAnsi"/>
          <w:lang w:eastAsia="en-US"/>
        </w:rPr>
        <w:t xml:space="preserve">Consultoria de Valores Mobiliários, especialmente contratada para esta finalidade, que elaborará relatórios </w:t>
      </w:r>
      <w:r w:rsidR="00D50813" w:rsidRPr="007F3363">
        <w:rPr>
          <w:rFonts w:asciiTheme="minorHAnsi" w:hAnsiTheme="minorHAnsi"/>
          <w:lang w:eastAsia="en-US"/>
        </w:rPr>
        <w:t>mensais</w:t>
      </w:r>
      <w:r w:rsidRPr="007F3363">
        <w:rPr>
          <w:rFonts w:asciiTheme="minorHAnsi" w:hAnsiTheme="minorHAnsi"/>
          <w:lang w:eastAsia="en-US"/>
        </w:rPr>
        <w:t xml:space="preserve"> para avaliação do desempenho da carteira e dos veículos de investimentos do </w:t>
      </w:r>
      <w:r w:rsidR="00BF19DB" w:rsidRPr="007F3363">
        <w:rPr>
          <w:rFonts w:asciiTheme="minorHAnsi" w:hAnsiTheme="minorHAnsi"/>
          <w:lang w:eastAsia="en-US"/>
        </w:rPr>
        <w:t>RPPS</w:t>
      </w:r>
      <w:r w:rsidRPr="007F3363">
        <w:rPr>
          <w:rFonts w:asciiTheme="minorHAnsi" w:hAnsiTheme="minorHAnsi"/>
          <w:lang w:eastAsia="en-US"/>
        </w:rPr>
        <w:t xml:space="preserve">. </w:t>
      </w:r>
    </w:p>
    <w:p w:rsidR="00132249" w:rsidRPr="007F3363" w:rsidRDefault="00132249" w:rsidP="00CD207C">
      <w:pPr>
        <w:ind w:firstLine="720"/>
        <w:rPr>
          <w:rFonts w:asciiTheme="minorHAnsi" w:hAnsiTheme="minorHAnsi" w:cs="Times"/>
          <w:lang w:eastAsia="en-US"/>
        </w:rPr>
      </w:pPr>
      <w:r w:rsidRPr="007F3363">
        <w:rPr>
          <w:rFonts w:asciiTheme="minorHAnsi" w:hAnsiTheme="minorHAnsi"/>
          <w:lang w:eastAsia="en-US"/>
        </w:rPr>
        <w:t>De acordo com a Resolução 3.922/2010, esta consultoria deverá ser realizada por uma ou mais pessoas</w:t>
      </w:r>
      <w:r w:rsidRPr="007F3363">
        <w:rPr>
          <w:rFonts w:asciiTheme="minorHAnsi" w:hAnsiTheme="minorHAnsi" w:cs="Times"/>
          <w:lang w:eastAsia="en-US"/>
        </w:rPr>
        <w:t xml:space="preserve"> </w:t>
      </w:r>
      <w:r w:rsidRPr="007F3363">
        <w:rPr>
          <w:rFonts w:asciiTheme="minorHAnsi" w:hAnsiTheme="minorHAnsi"/>
        </w:rPr>
        <w:t>jurídicas registradas na CVM ou credenciadas por entidade autorizada para tanto pela CVM.</w:t>
      </w:r>
      <w:r w:rsidRPr="007F3363">
        <w:rPr>
          <w:rFonts w:asciiTheme="minorHAnsi" w:hAnsiTheme="minorHAnsi" w:cs="Times"/>
          <w:lang w:eastAsia="en-US"/>
        </w:rPr>
        <w:t xml:space="preserve"> </w:t>
      </w:r>
    </w:p>
    <w:p w:rsidR="00132249" w:rsidRPr="007F3363" w:rsidRDefault="00132249" w:rsidP="00CD207C">
      <w:pPr>
        <w:pStyle w:val="Ttulo3"/>
        <w:rPr>
          <w:rFonts w:asciiTheme="minorHAnsi" w:hAnsiTheme="minorHAnsi"/>
          <w:color w:val="auto"/>
          <w:lang w:eastAsia="en-US"/>
        </w:rPr>
      </w:pPr>
      <w:bookmarkStart w:id="13" w:name="_Toc494961905"/>
      <w:r w:rsidRPr="007F3363">
        <w:rPr>
          <w:rFonts w:asciiTheme="minorHAnsi" w:hAnsiTheme="minorHAnsi"/>
          <w:color w:val="auto"/>
          <w:lang w:eastAsia="en-US"/>
        </w:rPr>
        <w:t>Agente Custodiante</w:t>
      </w:r>
      <w:bookmarkEnd w:id="13"/>
      <w:r w:rsidRPr="007F3363">
        <w:rPr>
          <w:rFonts w:asciiTheme="minorHAnsi" w:hAnsiTheme="minorHAnsi"/>
          <w:color w:val="auto"/>
          <w:lang w:eastAsia="en-US"/>
        </w:rPr>
        <w:t xml:space="preserve"> </w:t>
      </w:r>
    </w:p>
    <w:p w:rsidR="00132249" w:rsidRPr="007F3363" w:rsidRDefault="00132249" w:rsidP="00CD207C">
      <w:pPr>
        <w:ind w:firstLine="720"/>
        <w:rPr>
          <w:rFonts w:asciiTheme="minorHAnsi" w:hAnsiTheme="minorHAnsi"/>
        </w:rPr>
      </w:pPr>
      <w:r w:rsidRPr="007F3363">
        <w:rPr>
          <w:rFonts w:asciiTheme="minorHAnsi" w:hAnsiTheme="minorHAnsi"/>
          <w:lang w:eastAsia="en-US"/>
        </w:rPr>
        <w:t>Relativamente à custódia de títulos e valores mobiliários, reza a Resolução 3.922/2010 do CMN, artigo 17, que, salvo para as aplicações realizadas por meio de fundos de investimento, a atividade de agente custodiante, responsável pelos fluxos de pagamentos e recebimentos relativos às operações realizadas no âmbito dos segmentos de renda fixa e variável, deve ser exercida por pessoas jurídicas registradas na CVM.</w:t>
      </w:r>
    </w:p>
    <w:p w:rsidR="009822A4" w:rsidRPr="007F3363" w:rsidRDefault="001C57A4" w:rsidP="00CD207C">
      <w:pPr>
        <w:pStyle w:val="Ttulo2"/>
        <w:rPr>
          <w:rFonts w:asciiTheme="minorHAnsi" w:hAnsiTheme="minorHAnsi"/>
          <w:color w:val="auto"/>
          <w:sz w:val="24"/>
          <w:szCs w:val="24"/>
          <w:lang w:eastAsia="en-US"/>
        </w:rPr>
      </w:pPr>
      <w:bookmarkStart w:id="14" w:name="_Toc494961906"/>
      <w:r w:rsidRPr="007F3363">
        <w:rPr>
          <w:rFonts w:asciiTheme="minorHAnsi" w:hAnsiTheme="minorHAnsi"/>
          <w:color w:val="auto"/>
          <w:sz w:val="24"/>
          <w:szCs w:val="24"/>
          <w:lang w:eastAsia="en-US"/>
        </w:rPr>
        <w:t>Responsabilidades dos Gestores</w:t>
      </w:r>
      <w:bookmarkEnd w:id="14"/>
    </w:p>
    <w:p w:rsidR="0019650F" w:rsidRPr="007F3363" w:rsidRDefault="0019650F" w:rsidP="00CD207C">
      <w:pPr>
        <w:ind w:firstLine="709"/>
        <w:rPr>
          <w:rFonts w:asciiTheme="minorHAnsi" w:hAnsiTheme="minorHAnsi"/>
        </w:rPr>
      </w:pPr>
      <w:r w:rsidRPr="007F3363">
        <w:rPr>
          <w:rFonts w:asciiTheme="minorHAnsi" w:hAnsiTheme="minorHAnsi"/>
        </w:rPr>
        <w:t>O</w:t>
      </w:r>
      <w:r w:rsidR="00D36A8C" w:rsidRPr="007F3363">
        <w:rPr>
          <w:rFonts w:asciiTheme="minorHAnsi" w:hAnsiTheme="minorHAnsi"/>
        </w:rPr>
        <w:t>s</w:t>
      </w:r>
      <w:r w:rsidRPr="007F3363">
        <w:rPr>
          <w:rFonts w:asciiTheme="minorHAnsi" w:hAnsiTheme="minorHAnsi"/>
        </w:rPr>
        <w:t xml:space="preserve"> responsáve</w:t>
      </w:r>
      <w:r w:rsidR="00D36A8C" w:rsidRPr="007F3363">
        <w:rPr>
          <w:rFonts w:asciiTheme="minorHAnsi" w:hAnsiTheme="minorHAnsi"/>
        </w:rPr>
        <w:t>is</w:t>
      </w:r>
      <w:r w:rsidRPr="007F3363">
        <w:rPr>
          <w:rFonts w:asciiTheme="minorHAnsi" w:hAnsiTheme="minorHAnsi"/>
        </w:rPr>
        <w:t xml:space="preserve"> pela gestão dos recursos do regime próprio de previdência s</w:t>
      </w:r>
      <w:r w:rsidR="00D36A8C" w:rsidRPr="007F3363">
        <w:rPr>
          <w:rFonts w:asciiTheme="minorHAnsi" w:hAnsiTheme="minorHAnsi"/>
        </w:rPr>
        <w:t>ocial deverão</w:t>
      </w:r>
      <w:r w:rsidRPr="007F3363">
        <w:rPr>
          <w:rFonts w:asciiTheme="minorHAnsi" w:hAnsiTheme="minorHAnsi"/>
        </w:rPr>
        <w:t>:</w:t>
      </w:r>
    </w:p>
    <w:p w:rsidR="00D36A8C" w:rsidRPr="007F3363" w:rsidRDefault="00D36A8C" w:rsidP="00CD207C">
      <w:pPr>
        <w:pStyle w:val="PargrafodaLista"/>
        <w:ind w:left="0" w:firstLine="709"/>
        <w:rPr>
          <w:rFonts w:asciiTheme="minorHAnsi" w:hAnsiTheme="minorHAnsi"/>
          <w:lang w:eastAsia="en-US"/>
        </w:rPr>
      </w:pPr>
      <w:proofErr w:type="gramStart"/>
      <w:r w:rsidRPr="007F3363">
        <w:rPr>
          <w:rFonts w:asciiTheme="minorHAnsi" w:hAnsiTheme="minorHAnsi"/>
          <w:lang w:eastAsia="en-US"/>
        </w:rPr>
        <w:t>assessorados</w:t>
      </w:r>
      <w:proofErr w:type="gramEnd"/>
      <w:r w:rsidRPr="007F3363">
        <w:rPr>
          <w:rFonts w:asciiTheme="minorHAnsi" w:hAnsiTheme="minorHAnsi"/>
          <w:lang w:eastAsia="en-US"/>
        </w:rPr>
        <w:t xml:space="preserve"> pelo Comitê de Investimentos, realizar a seleção, acompanhamento e avaliação do desempenho de ativos e produtos financeiros que </w:t>
      </w:r>
      <w:r w:rsidR="00B26E95" w:rsidRPr="007F3363">
        <w:rPr>
          <w:rFonts w:asciiTheme="minorHAnsi" w:hAnsiTheme="minorHAnsi"/>
          <w:lang w:eastAsia="en-US"/>
        </w:rPr>
        <w:t>integram</w:t>
      </w:r>
      <w:r w:rsidRPr="007F3363">
        <w:rPr>
          <w:rFonts w:asciiTheme="minorHAnsi" w:hAnsiTheme="minorHAnsi"/>
          <w:lang w:eastAsia="en-US"/>
        </w:rPr>
        <w:t xml:space="preserve"> a carteira do ;</w:t>
      </w:r>
    </w:p>
    <w:p w:rsidR="00150BEA" w:rsidRPr="007F3363" w:rsidRDefault="00150BEA" w:rsidP="00CD207C">
      <w:pPr>
        <w:pStyle w:val="PargrafodaLista"/>
        <w:ind w:left="0" w:firstLine="709"/>
        <w:rPr>
          <w:rFonts w:asciiTheme="minorHAnsi" w:hAnsiTheme="minorHAnsi"/>
          <w:lang w:eastAsia="en-US"/>
        </w:rPr>
      </w:pPr>
      <w:r w:rsidRPr="007F3363">
        <w:rPr>
          <w:rFonts w:asciiTheme="minorHAnsi" w:hAnsiTheme="minorHAnsi"/>
          <w:lang w:eastAsia="en-US"/>
        </w:rPr>
        <w:t>elaborar modelo de gestão a ser adotado</w:t>
      </w:r>
      <w:r w:rsidR="00401F68" w:rsidRPr="007F3363">
        <w:rPr>
          <w:rFonts w:asciiTheme="minorHAnsi" w:hAnsiTheme="minorHAnsi"/>
          <w:lang w:eastAsia="en-US"/>
        </w:rPr>
        <w:t>;</w:t>
      </w:r>
    </w:p>
    <w:p w:rsidR="0019650F" w:rsidRPr="007F3363" w:rsidRDefault="0019650F" w:rsidP="00CD207C">
      <w:pPr>
        <w:pStyle w:val="PargrafodaLista"/>
        <w:ind w:left="0" w:firstLine="709"/>
        <w:rPr>
          <w:rFonts w:asciiTheme="minorHAnsi" w:hAnsiTheme="minorHAnsi"/>
          <w:lang w:eastAsia="en-US"/>
        </w:rPr>
      </w:pPr>
      <w:r w:rsidRPr="007F3363">
        <w:rPr>
          <w:rFonts w:asciiTheme="minorHAnsi" w:hAnsiTheme="minorHAnsi"/>
        </w:rPr>
        <w:t>observar as informações divulgadas, diariamente, por entidades reconhecidamente idôneas pela sua transparência e elevado padrão técnico na difusão de preços e taxas dos títulos, para fins de utilização como referência em negociações no mercado financeiro, antes do efetivo fechamento de operações (Resolução 3.922/2010);</w:t>
      </w:r>
    </w:p>
    <w:p w:rsidR="0019650F" w:rsidRPr="007F3363" w:rsidRDefault="0019650F" w:rsidP="00CD207C">
      <w:pPr>
        <w:pStyle w:val="PargrafodaLista"/>
        <w:ind w:left="0" w:firstLine="709"/>
        <w:rPr>
          <w:rFonts w:asciiTheme="minorHAnsi" w:hAnsiTheme="minorHAnsi"/>
        </w:rPr>
      </w:pPr>
      <w:r w:rsidRPr="007F3363">
        <w:rPr>
          <w:rFonts w:asciiTheme="minorHAnsi" w:hAnsiTheme="minorHAnsi"/>
          <w:lang w:eastAsia="en-US"/>
        </w:rPr>
        <w:t>zelar pela promoção de elevados padrões éticos na condução das operações relativas às aplicações dos recursos operados pelo RPPS, bem como pela eficiência dos procedimentos técnicos, operacionai</w:t>
      </w:r>
      <w:r w:rsidR="00826DEF" w:rsidRPr="007F3363">
        <w:rPr>
          <w:rFonts w:asciiTheme="minorHAnsi" w:hAnsiTheme="minorHAnsi"/>
          <w:lang w:eastAsia="en-US"/>
        </w:rPr>
        <w:t xml:space="preserve">s e de controle das aplicações </w:t>
      </w:r>
      <w:r w:rsidR="00826DEF" w:rsidRPr="007F3363">
        <w:rPr>
          <w:rFonts w:asciiTheme="minorHAnsi" w:hAnsiTheme="minorHAnsi"/>
        </w:rPr>
        <w:t>(Portaria MPS n° 519/2011);</w:t>
      </w:r>
    </w:p>
    <w:p w:rsidR="0019650F" w:rsidRPr="007F3363" w:rsidRDefault="00826DEF" w:rsidP="00CD207C">
      <w:pPr>
        <w:pStyle w:val="PargrafodaLista"/>
        <w:ind w:left="0" w:firstLine="709"/>
        <w:rPr>
          <w:rFonts w:asciiTheme="minorHAnsi" w:hAnsiTheme="minorHAnsi"/>
        </w:rPr>
      </w:pPr>
      <w:r w:rsidRPr="007F3363">
        <w:rPr>
          <w:rFonts w:asciiTheme="minorHAnsi" w:hAnsiTheme="minorHAnsi"/>
          <w:lang w:eastAsia="en-US"/>
        </w:rPr>
        <w:t>e</w:t>
      </w:r>
      <w:r w:rsidR="0019650F" w:rsidRPr="007F3363">
        <w:rPr>
          <w:rFonts w:asciiTheme="minorHAnsi" w:hAnsiTheme="minorHAnsi"/>
          <w:lang w:eastAsia="en-US"/>
        </w:rPr>
        <w:t xml:space="preserve">laborar relatórios detalhados, no mínimo, trimestralmente, sobre a rentabilidade, os riscos das diversas modalidades de operações realizadas nas aplicações dos recursos do RPPS e a aderência à </w:t>
      </w:r>
      <w:r w:rsidR="00B26E95" w:rsidRPr="007F3363">
        <w:rPr>
          <w:rFonts w:asciiTheme="minorHAnsi" w:hAnsiTheme="minorHAnsi"/>
          <w:lang w:eastAsia="en-US"/>
        </w:rPr>
        <w:t>política</w:t>
      </w:r>
      <w:r w:rsidR="0019650F" w:rsidRPr="007F3363">
        <w:rPr>
          <w:rFonts w:asciiTheme="minorHAnsi" w:hAnsiTheme="minorHAnsi"/>
          <w:lang w:eastAsia="en-US"/>
        </w:rPr>
        <w:t xml:space="preserve"> anual de investimentos e suas revisões e submetê-los às instâncias superi</w:t>
      </w:r>
      <w:r w:rsidRPr="007F3363">
        <w:rPr>
          <w:rFonts w:asciiTheme="minorHAnsi" w:hAnsiTheme="minorHAnsi"/>
          <w:lang w:eastAsia="en-US"/>
        </w:rPr>
        <w:t xml:space="preserve">ores de deliberação e controle </w:t>
      </w:r>
      <w:r w:rsidRPr="007F3363">
        <w:rPr>
          <w:rFonts w:asciiTheme="minorHAnsi" w:hAnsiTheme="minorHAnsi"/>
        </w:rPr>
        <w:t>(Portaria MPS n° 519/2011);</w:t>
      </w:r>
    </w:p>
    <w:p w:rsidR="0019650F" w:rsidRPr="007F3363" w:rsidRDefault="0019650F" w:rsidP="00CD207C">
      <w:pPr>
        <w:pStyle w:val="PargrafodaLista"/>
        <w:ind w:left="0" w:firstLine="709"/>
        <w:rPr>
          <w:rFonts w:asciiTheme="minorHAnsi" w:hAnsiTheme="minorHAnsi"/>
        </w:rPr>
      </w:pPr>
      <w:r w:rsidRPr="007F3363">
        <w:rPr>
          <w:rFonts w:asciiTheme="minorHAnsi" w:hAnsiTheme="minorHAnsi"/>
          <w:lang w:eastAsia="en-US"/>
        </w:rPr>
        <w:lastRenderedPageBreak/>
        <w:t>assegurar-se do desempenho positivo de qualquer entidade que mantiver relação de prestação de serviços e ou consultoria nas operações de aplicação dos recursos do RPPS e da regularidade do registro na Comissã</w:t>
      </w:r>
      <w:r w:rsidR="00826DEF" w:rsidRPr="007F3363">
        <w:rPr>
          <w:rFonts w:asciiTheme="minorHAnsi" w:hAnsiTheme="minorHAnsi"/>
          <w:lang w:eastAsia="en-US"/>
        </w:rPr>
        <w:t xml:space="preserve">o de Valores Mobiliários – CVM </w:t>
      </w:r>
      <w:r w:rsidR="00826DEF" w:rsidRPr="007F3363">
        <w:rPr>
          <w:rFonts w:asciiTheme="minorHAnsi" w:hAnsiTheme="minorHAnsi"/>
        </w:rPr>
        <w:t>(Portaria MPS n° 519/2011);</w:t>
      </w:r>
    </w:p>
    <w:p w:rsidR="00901191" w:rsidRPr="007F3363" w:rsidRDefault="00901191" w:rsidP="00CD207C">
      <w:pPr>
        <w:pStyle w:val="PargrafodaLista"/>
        <w:ind w:left="0" w:firstLine="709"/>
        <w:rPr>
          <w:rFonts w:asciiTheme="minorHAnsi" w:hAnsiTheme="minorHAnsi"/>
        </w:rPr>
      </w:pPr>
      <w:r w:rsidRPr="007F3363">
        <w:rPr>
          <w:rFonts w:asciiTheme="minorHAnsi" w:hAnsiTheme="minorHAnsi"/>
          <w:lang w:eastAsia="en-US"/>
        </w:rPr>
        <w:t xml:space="preserve">condicionar o pagamento de taxa de performance na aplicação dos recursos do RPPS em cotas de fundos de investimento, ou por meio de carteiras administradas, ao atendimento dos quesitos constantes na Portaria </w:t>
      </w:r>
      <w:r w:rsidRPr="007F3363">
        <w:rPr>
          <w:rFonts w:asciiTheme="minorHAnsi" w:hAnsiTheme="minorHAnsi"/>
        </w:rPr>
        <w:t>MPS n° 519/2011);</w:t>
      </w:r>
    </w:p>
    <w:p w:rsidR="00826DEF" w:rsidRPr="007F3363" w:rsidRDefault="00826DEF" w:rsidP="00CD207C">
      <w:pPr>
        <w:pStyle w:val="PargrafodaLista"/>
        <w:ind w:left="0" w:firstLine="709"/>
        <w:rPr>
          <w:rFonts w:asciiTheme="minorHAnsi" w:hAnsiTheme="minorHAnsi"/>
        </w:rPr>
      </w:pPr>
      <w:r w:rsidRPr="007F3363">
        <w:rPr>
          <w:rFonts w:asciiTheme="minorHAnsi" w:hAnsiTheme="minorHAnsi"/>
          <w:lang w:eastAsia="en-US"/>
        </w:rPr>
        <w:t xml:space="preserve">disponibilizar aos seus segurados e pensionistas as informações contidas na política anual de investimentos e suas revisões, no prazo de trinta dias, contados da data de sua aprovação </w:t>
      </w:r>
      <w:r w:rsidRPr="007F3363">
        <w:rPr>
          <w:rFonts w:asciiTheme="minorHAnsi" w:hAnsiTheme="minorHAnsi"/>
        </w:rPr>
        <w:t>(Portaria MPS n° 519/2011);</w:t>
      </w:r>
    </w:p>
    <w:p w:rsidR="00826DEF" w:rsidRPr="007F3363" w:rsidRDefault="00826DEF" w:rsidP="00CD207C">
      <w:pPr>
        <w:pStyle w:val="PargrafodaLista"/>
        <w:ind w:left="0" w:firstLine="709"/>
        <w:rPr>
          <w:rFonts w:asciiTheme="minorHAnsi" w:hAnsiTheme="minorHAnsi" w:cs="Times"/>
          <w:lang w:eastAsia="en-US"/>
        </w:rPr>
      </w:pPr>
      <w:r w:rsidRPr="007F3363">
        <w:rPr>
          <w:rFonts w:asciiTheme="minorHAnsi" w:hAnsiTheme="minorHAnsi"/>
          <w:lang w:eastAsia="en-US"/>
        </w:rPr>
        <w:t xml:space="preserve">na gestão própria, antes da realização de qualquer operação, assegurar que as instituições escolhidas para receber as aplicações tenham sido objeto de prévio cadastramento, conforme parâmetros definidos na </w:t>
      </w:r>
      <w:r w:rsidRPr="007F3363">
        <w:rPr>
          <w:rFonts w:asciiTheme="minorHAnsi" w:hAnsiTheme="minorHAnsi"/>
        </w:rPr>
        <w:t>Portaria MPS n° 519/2011</w:t>
      </w:r>
      <w:r w:rsidRPr="007F3363">
        <w:rPr>
          <w:rFonts w:asciiTheme="minorHAnsi" w:hAnsiTheme="minorHAnsi"/>
          <w:lang w:eastAsia="en-US"/>
        </w:rPr>
        <w:t xml:space="preserve">. </w:t>
      </w:r>
    </w:p>
    <w:p w:rsidR="00826DEF" w:rsidRPr="007F3363" w:rsidRDefault="00826DEF" w:rsidP="00CD207C">
      <w:pPr>
        <w:pStyle w:val="PargrafodaLista"/>
        <w:numPr>
          <w:ilvl w:val="0"/>
          <w:numId w:val="0"/>
        </w:numPr>
        <w:ind w:left="851"/>
        <w:rPr>
          <w:rFonts w:asciiTheme="minorHAnsi" w:hAnsiTheme="minorHAnsi"/>
        </w:rPr>
      </w:pPr>
    </w:p>
    <w:p w:rsidR="00826DEF" w:rsidRPr="007F3363" w:rsidRDefault="00826DEF" w:rsidP="00CD207C">
      <w:pPr>
        <w:ind w:firstLine="709"/>
        <w:rPr>
          <w:rFonts w:asciiTheme="minorHAnsi" w:hAnsiTheme="minorHAnsi"/>
        </w:rPr>
      </w:pPr>
      <w:r w:rsidRPr="007F3363">
        <w:rPr>
          <w:rFonts w:asciiTheme="minorHAnsi" w:hAnsiTheme="minorHAnsi"/>
        </w:rPr>
        <w:t>Ainda, no caso de gestão mista ou realizada por entidade autorizada, segundo a Portaria MPS n° 519/2011, o gestor deve:</w:t>
      </w:r>
    </w:p>
    <w:p w:rsidR="00826DEF" w:rsidRPr="007F3363" w:rsidRDefault="00826DEF" w:rsidP="00CD207C">
      <w:pPr>
        <w:pStyle w:val="PargrafodaLista"/>
        <w:ind w:left="0" w:firstLine="709"/>
        <w:rPr>
          <w:rFonts w:asciiTheme="minorHAnsi" w:hAnsiTheme="minorHAnsi"/>
        </w:rPr>
      </w:pPr>
      <w:r w:rsidRPr="007F3363">
        <w:rPr>
          <w:rFonts w:asciiTheme="minorHAnsi" w:hAnsiTheme="minorHAnsi"/>
        </w:rPr>
        <w:t>realizar processo seletivo e submetê-lo à instância superior de deliberação, tendo como critérios, no mínimo, a solidez patrimonial da entidade, a compatibilidade desta com o volume de recursos e a experiência positiva no exercício da atividade de administração de recursos de terceiros;</w:t>
      </w:r>
    </w:p>
    <w:p w:rsidR="00826DEF" w:rsidRPr="007F3363" w:rsidRDefault="00826DEF" w:rsidP="00CD207C">
      <w:pPr>
        <w:pStyle w:val="PargrafodaLista"/>
        <w:ind w:left="0" w:firstLine="709"/>
        <w:rPr>
          <w:rFonts w:asciiTheme="minorHAnsi" w:hAnsiTheme="minorHAnsi"/>
        </w:rPr>
      </w:pPr>
      <w:r w:rsidRPr="007F3363">
        <w:rPr>
          <w:rFonts w:asciiTheme="minorHAnsi" w:hAnsiTheme="minorHAnsi"/>
          <w:lang w:eastAsia="en-US"/>
        </w:rPr>
        <w:t>exigir da entidade autorizada e credenciada, mediante contrato, no mínimo mensalmente, relatório detalhado contendo informações sobre a rentabilidade e risco das aplicações;</w:t>
      </w:r>
    </w:p>
    <w:p w:rsidR="001C57A4" w:rsidRPr="007F3363" w:rsidRDefault="00826DEF" w:rsidP="00CD207C">
      <w:pPr>
        <w:pStyle w:val="PargrafodaLista"/>
        <w:ind w:left="0" w:firstLine="709"/>
        <w:rPr>
          <w:rFonts w:asciiTheme="minorHAnsi" w:hAnsiTheme="minorHAnsi"/>
        </w:rPr>
      </w:pPr>
      <w:r w:rsidRPr="007F3363">
        <w:rPr>
          <w:rFonts w:asciiTheme="minorHAnsi" w:hAnsiTheme="minorHAnsi"/>
          <w:lang w:eastAsia="en-US"/>
        </w:rPr>
        <w:t>realizar avaliação do desempenho das aplicações efetuadas por entidade autorizada e credenciada, no mínimo semestralmente, adotando de imediato, medidas cabíveis no caso da constataç</w:t>
      </w:r>
      <w:r w:rsidR="000B483C" w:rsidRPr="007F3363">
        <w:rPr>
          <w:rFonts w:asciiTheme="minorHAnsi" w:hAnsiTheme="minorHAnsi"/>
          <w:lang w:eastAsia="en-US"/>
        </w:rPr>
        <w:t>ão de desempenho insatisfatória.</w:t>
      </w:r>
    </w:p>
    <w:p w:rsidR="00BD0673" w:rsidRPr="007F3363" w:rsidRDefault="00BD0673" w:rsidP="00CD207C">
      <w:pPr>
        <w:pStyle w:val="Ttulo2"/>
        <w:rPr>
          <w:rFonts w:asciiTheme="minorHAnsi" w:hAnsiTheme="minorHAnsi"/>
          <w:color w:val="auto"/>
          <w:sz w:val="24"/>
          <w:szCs w:val="24"/>
          <w:lang w:eastAsia="en-US"/>
        </w:rPr>
      </w:pPr>
      <w:bookmarkStart w:id="15" w:name="_Toc494961907"/>
      <w:r w:rsidRPr="007F3363">
        <w:rPr>
          <w:rFonts w:asciiTheme="minorHAnsi" w:hAnsiTheme="minorHAnsi"/>
          <w:color w:val="auto"/>
          <w:sz w:val="24"/>
          <w:szCs w:val="24"/>
          <w:lang w:eastAsia="en-US"/>
        </w:rPr>
        <w:t>Responsabilidades do Conselho de Administração</w:t>
      </w:r>
      <w:bookmarkEnd w:id="15"/>
    </w:p>
    <w:p w:rsidR="00BD0673" w:rsidRPr="007F3363" w:rsidRDefault="00BD0673" w:rsidP="00CD207C">
      <w:pPr>
        <w:ind w:firstLine="709"/>
        <w:rPr>
          <w:rFonts w:asciiTheme="minorHAnsi" w:hAnsiTheme="minorHAnsi"/>
          <w:lang w:eastAsia="en-US"/>
        </w:rPr>
      </w:pPr>
      <w:r w:rsidRPr="007F3363">
        <w:rPr>
          <w:rFonts w:asciiTheme="minorHAnsi" w:hAnsiTheme="minorHAnsi"/>
          <w:lang w:eastAsia="en-US"/>
        </w:rPr>
        <w:t>Compete ao Conselho de Administração:</w:t>
      </w:r>
    </w:p>
    <w:p w:rsidR="00BD0673" w:rsidRPr="007F3363" w:rsidRDefault="00BD0673" w:rsidP="00CD207C">
      <w:pPr>
        <w:pStyle w:val="PargrafodaLista"/>
        <w:numPr>
          <w:ilvl w:val="0"/>
          <w:numId w:val="14"/>
        </w:numPr>
        <w:rPr>
          <w:rFonts w:asciiTheme="minorHAnsi" w:hAnsiTheme="minorHAnsi"/>
          <w:lang w:eastAsia="en-US"/>
        </w:rPr>
      </w:pPr>
      <w:r w:rsidRPr="007F3363">
        <w:rPr>
          <w:rFonts w:asciiTheme="minorHAnsi" w:hAnsiTheme="minorHAnsi"/>
          <w:lang w:eastAsia="en-US"/>
        </w:rPr>
        <w:t>elaborar a proposta orçamentária do Fundo;</w:t>
      </w:r>
    </w:p>
    <w:p w:rsidR="00BD0673" w:rsidRPr="007F3363" w:rsidRDefault="00BD0673" w:rsidP="00CD207C">
      <w:pPr>
        <w:pStyle w:val="PargrafodaLista"/>
        <w:numPr>
          <w:ilvl w:val="0"/>
          <w:numId w:val="14"/>
        </w:numPr>
        <w:rPr>
          <w:rFonts w:asciiTheme="minorHAnsi" w:hAnsiTheme="minorHAnsi"/>
          <w:lang w:eastAsia="en-US"/>
        </w:rPr>
      </w:pPr>
      <w:r w:rsidRPr="007F3363">
        <w:rPr>
          <w:rFonts w:asciiTheme="minorHAnsi" w:hAnsiTheme="minorHAnsi"/>
          <w:lang w:eastAsia="en-US"/>
        </w:rPr>
        <w:t>deliberar sobre a prestação de contas e os relatórios de execução orçamentária do Fundo;</w:t>
      </w:r>
    </w:p>
    <w:p w:rsidR="00BD0673" w:rsidRPr="007F3363" w:rsidRDefault="00BD0673" w:rsidP="00CD207C">
      <w:pPr>
        <w:pStyle w:val="PargrafodaLista"/>
        <w:numPr>
          <w:ilvl w:val="0"/>
          <w:numId w:val="14"/>
        </w:numPr>
        <w:rPr>
          <w:rFonts w:asciiTheme="minorHAnsi" w:hAnsiTheme="minorHAnsi"/>
          <w:lang w:eastAsia="en-US"/>
        </w:rPr>
      </w:pPr>
      <w:r w:rsidRPr="007F3363">
        <w:rPr>
          <w:rFonts w:asciiTheme="minorHAnsi" w:hAnsiTheme="minorHAnsi"/>
          <w:lang w:eastAsia="en-US"/>
        </w:rPr>
        <w:t>decidir sobre a forma de funcionamento do Conselho, elaborar o Regimento Interno, que será homologado pelo Prefeito Municipal, e eleger seu presidente;</w:t>
      </w:r>
    </w:p>
    <w:p w:rsidR="00BD0673" w:rsidRPr="007F3363" w:rsidRDefault="00BD0673" w:rsidP="00CD207C">
      <w:pPr>
        <w:pStyle w:val="PargrafodaLista"/>
        <w:numPr>
          <w:ilvl w:val="0"/>
          <w:numId w:val="14"/>
        </w:numPr>
        <w:rPr>
          <w:rFonts w:asciiTheme="minorHAnsi" w:hAnsiTheme="minorHAnsi"/>
          <w:lang w:eastAsia="en-US"/>
        </w:rPr>
      </w:pPr>
      <w:r w:rsidRPr="007F3363">
        <w:rPr>
          <w:rFonts w:asciiTheme="minorHAnsi" w:hAnsiTheme="minorHAnsi"/>
          <w:lang w:eastAsia="en-US"/>
        </w:rPr>
        <w:lastRenderedPageBreak/>
        <w:t>fiscalizar o recolhimento das contribuições, inclusive verificando a correta base de cálculo e a aplicação das alíquotas;</w:t>
      </w:r>
    </w:p>
    <w:p w:rsidR="00BD0673" w:rsidRPr="007F3363" w:rsidRDefault="00BD0673" w:rsidP="00CD207C">
      <w:pPr>
        <w:pStyle w:val="PargrafodaLista"/>
        <w:numPr>
          <w:ilvl w:val="0"/>
          <w:numId w:val="14"/>
        </w:numPr>
        <w:rPr>
          <w:rFonts w:asciiTheme="minorHAnsi" w:hAnsiTheme="minorHAnsi"/>
          <w:lang w:eastAsia="en-US"/>
        </w:rPr>
      </w:pPr>
      <w:r w:rsidRPr="007F3363">
        <w:rPr>
          <w:rFonts w:asciiTheme="minorHAnsi" w:hAnsiTheme="minorHAnsi"/>
          <w:lang w:eastAsia="en-US"/>
        </w:rPr>
        <w:t>analisar e fiscalizar a aplicação do saldo de recursos do Fundo quanto à forma, ao prazo e à natureza dos investimentos;</w:t>
      </w:r>
    </w:p>
    <w:p w:rsidR="00BD0673" w:rsidRPr="007F3363" w:rsidRDefault="00BD0673" w:rsidP="00CD207C">
      <w:pPr>
        <w:pStyle w:val="PargrafodaLista"/>
        <w:numPr>
          <w:ilvl w:val="0"/>
          <w:numId w:val="14"/>
        </w:numPr>
        <w:rPr>
          <w:rFonts w:asciiTheme="minorHAnsi" w:hAnsiTheme="minorHAnsi"/>
          <w:lang w:eastAsia="en-US"/>
        </w:rPr>
      </w:pPr>
      <w:r w:rsidRPr="007F3363">
        <w:rPr>
          <w:rFonts w:asciiTheme="minorHAnsi" w:hAnsiTheme="minorHAnsi"/>
          <w:lang w:eastAsia="en-US"/>
        </w:rPr>
        <w:t>expedir instruções necessárias à devolução de parcelas de benefícios indevidamente recebidos;</w:t>
      </w:r>
    </w:p>
    <w:p w:rsidR="00BD0673" w:rsidRPr="007F3363" w:rsidRDefault="00BD0673" w:rsidP="00CD207C">
      <w:pPr>
        <w:pStyle w:val="PargrafodaLista"/>
        <w:numPr>
          <w:ilvl w:val="0"/>
          <w:numId w:val="14"/>
        </w:numPr>
        <w:rPr>
          <w:rFonts w:asciiTheme="minorHAnsi" w:hAnsiTheme="minorHAnsi"/>
          <w:lang w:eastAsia="en-US"/>
        </w:rPr>
      </w:pPr>
      <w:r w:rsidRPr="007F3363">
        <w:rPr>
          <w:rFonts w:asciiTheme="minorHAnsi" w:hAnsiTheme="minorHAnsi"/>
          <w:lang w:eastAsia="en-US"/>
        </w:rPr>
        <w:t>propor a alteração das alíquotas referentes às contribuições a que alude o art.13 desta Lei, com vistas a assegurar o equilíbrio financeiro e atuarial do Fundo, com base nas avaliações atuariais;</w:t>
      </w:r>
    </w:p>
    <w:p w:rsidR="00BD0673" w:rsidRPr="00177E7C" w:rsidRDefault="00BD0673" w:rsidP="00CD207C">
      <w:pPr>
        <w:pStyle w:val="PargrafodaLista"/>
        <w:numPr>
          <w:ilvl w:val="0"/>
          <w:numId w:val="14"/>
        </w:numPr>
        <w:rPr>
          <w:rFonts w:asciiTheme="minorHAnsi" w:hAnsiTheme="minorHAnsi"/>
          <w:lang w:eastAsia="en-US"/>
        </w:rPr>
      </w:pPr>
      <w:r w:rsidRPr="00177E7C">
        <w:rPr>
          <w:rFonts w:asciiTheme="minorHAnsi" w:hAnsiTheme="minorHAnsi"/>
          <w:lang w:eastAsia="en-US"/>
        </w:rPr>
        <w:t xml:space="preserve">elaborar, aprovar e publicar a Política de Investimentos do Fundo para o próximo exercício fiscal; </w:t>
      </w:r>
    </w:p>
    <w:p w:rsidR="00BD0673" w:rsidRPr="00177E7C" w:rsidRDefault="00BD0673" w:rsidP="00CD207C">
      <w:pPr>
        <w:pStyle w:val="PargrafodaLista"/>
        <w:numPr>
          <w:ilvl w:val="0"/>
          <w:numId w:val="14"/>
        </w:numPr>
        <w:rPr>
          <w:rFonts w:asciiTheme="minorHAnsi" w:hAnsiTheme="minorHAnsi"/>
          <w:lang w:eastAsia="en-US"/>
        </w:rPr>
      </w:pPr>
      <w:r w:rsidRPr="00177E7C">
        <w:rPr>
          <w:rFonts w:asciiTheme="minorHAnsi" w:hAnsiTheme="minorHAnsi"/>
          <w:lang w:eastAsia="en-US"/>
        </w:rPr>
        <w:t>garantir pleno acesso das informações referentes à gestão do Regime aos segurados e dependentes;</w:t>
      </w:r>
    </w:p>
    <w:p w:rsidR="00BD0673" w:rsidRPr="007F3363" w:rsidRDefault="00BD0673" w:rsidP="00CD207C">
      <w:pPr>
        <w:pStyle w:val="PargrafodaLista"/>
        <w:numPr>
          <w:ilvl w:val="0"/>
          <w:numId w:val="14"/>
        </w:numPr>
        <w:rPr>
          <w:rFonts w:asciiTheme="minorHAnsi" w:hAnsiTheme="minorHAnsi"/>
          <w:lang w:eastAsia="en-US"/>
        </w:rPr>
      </w:pPr>
      <w:r w:rsidRPr="007F3363">
        <w:rPr>
          <w:rFonts w:asciiTheme="minorHAnsi" w:hAnsiTheme="minorHAnsi"/>
          <w:lang w:eastAsia="en-US"/>
        </w:rPr>
        <w:t xml:space="preserve">divulgar no quadro de publicações da Prefeitura Municipal e no sítio eletrônico do Município ou na imprensa oficial, todas as decisões do Conselho; </w:t>
      </w:r>
    </w:p>
    <w:p w:rsidR="00BD0673" w:rsidRPr="007F3363" w:rsidRDefault="00BD0673" w:rsidP="00CD207C">
      <w:pPr>
        <w:pStyle w:val="PargrafodaLista"/>
        <w:numPr>
          <w:ilvl w:val="0"/>
          <w:numId w:val="14"/>
        </w:numPr>
        <w:rPr>
          <w:rFonts w:asciiTheme="minorHAnsi" w:hAnsiTheme="minorHAnsi"/>
          <w:lang w:eastAsia="en-US"/>
        </w:rPr>
      </w:pPr>
      <w:r w:rsidRPr="007F3363">
        <w:rPr>
          <w:rFonts w:asciiTheme="minorHAnsi" w:hAnsiTheme="minorHAnsi"/>
          <w:lang w:eastAsia="en-US"/>
        </w:rPr>
        <w:t>dirimir dúvidas quanto à aplicação das normas regulamentares, relativas ao RPPS, nas matérias de sua competência;</w:t>
      </w:r>
    </w:p>
    <w:p w:rsidR="001C57A4" w:rsidRPr="007F3363" w:rsidRDefault="00BD0673" w:rsidP="00CD207C">
      <w:pPr>
        <w:pStyle w:val="PargrafodaLista"/>
        <w:numPr>
          <w:ilvl w:val="0"/>
          <w:numId w:val="14"/>
        </w:numPr>
        <w:rPr>
          <w:rFonts w:asciiTheme="minorHAnsi" w:hAnsiTheme="minorHAnsi"/>
          <w:lang w:eastAsia="en-US"/>
        </w:rPr>
      </w:pPr>
      <w:r w:rsidRPr="007F3363">
        <w:rPr>
          <w:rFonts w:asciiTheme="minorHAnsi" w:hAnsiTheme="minorHAnsi"/>
          <w:lang w:eastAsia="en-US"/>
        </w:rPr>
        <w:t>deliberar sobre outros</w:t>
      </w:r>
      <w:r w:rsidR="00B033F4" w:rsidRPr="007F3363">
        <w:rPr>
          <w:rFonts w:asciiTheme="minorHAnsi" w:hAnsiTheme="minorHAnsi"/>
          <w:lang w:eastAsia="en-US"/>
        </w:rPr>
        <w:t xml:space="preserve"> assuntos de interesse do Fundo;</w:t>
      </w:r>
    </w:p>
    <w:p w:rsidR="00B033F4" w:rsidRPr="007F3363" w:rsidRDefault="00B033F4" w:rsidP="00B033F4">
      <w:pPr>
        <w:pStyle w:val="PargrafodaLista"/>
        <w:numPr>
          <w:ilvl w:val="0"/>
          <w:numId w:val="14"/>
        </w:numPr>
        <w:rPr>
          <w:rFonts w:asciiTheme="minorHAnsi" w:hAnsiTheme="minorHAnsi"/>
          <w:lang w:eastAsia="en-US"/>
        </w:rPr>
      </w:pPr>
      <w:r w:rsidRPr="007F3363">
        <w:rPr>
          <w:rFonts w:asciiTheme="minorHAnsi" w:hAnsiTheme="minorHAnsi"/>
          <w:lang w:eastAsia="en-US"/>
        </w:rPr>
        <w:t>examinar os balancetes e balanços do RPPS, bem como as contas e os demais aspectos econômico-financeiros deliberar sobre a alocação de recursos;</w:t>
      </w:r>
    </w:p>
    <w:p w:rsidR="00B033F4" w:rsidRPr="007F3363" w:rsidRDefault="00B033F4" w:rsidP="00B033F4">
      <w:pPr>
        <w:pStyle w:val="PargrafodaLista"/>
        <w:numPr>
          <w:ilvl w:val="0"/>
          <w:numId w:val="14"/>
        </w:numPr>
        <w:rPr>
          <w:rFonts w:asciiTheme="minorHAnsi" w:hAnsiTheme="minorHAnsi"/>
          <w:lang w:eastAsia="en-US"/>
        </w:rPr>
      </w:pPr>
      <w:r w:rsidRPr="007F3363">
        <w:rPr>
          <w:rFonts w:asciiTheme="minorHAnsi" w:hAnsiTheme="minorHAnsi"/>
          <w:lang w:eastAsia="en-US"/>
        </w:rPr>
        <w:t>examinar livros e documentos;</w:t>
      </w:r>
    </w:p>
    <w:p w:rsidR="00B033F4" w:rsidRPr="007F3363" w:rsidRDefault="00B033F4" w:rsidP="00B033F4">
      <w:pPr>
        <w:pStyle w:val="PargrafodaLista"/>
        <w:numPr>
          <w:ilvl w:val="0"/>
          <w:numId w:val="14"/>
        </w:numPr>
        <w:rPr>
          <w:rFonts w:asciiTheme="minorHAnsi" w:hAnsiTheme="minorHAnsi"/>
          <w:lang w:eastAsia="en-US"/>
        </w:rPr>
      </w:pPr>
      <w:r w:rsidRPr="007F3363">
        <w:rPr>
          <w:rFonts w:asciiTheme="minorHAnsi" w:hAnsiTheme="minorHAnsi"/>
          <w:lang w:eastAsia="en-US"/>
        </w:rPr>
        <w:t>examinar quaisquer operações ou atos de gestão do RPPS;</w:t>
      </w:r>
    </w:p>
    <w:p w:rsidR="00B033F4" w:rsidRPr="007F3363" w:rsidRDefault="00B033F4" w:rsidP="00B033F4">
      <w:pPr>
        <w:pStyle w:val="PargrafodaLista"/>
        <w:numPr>
          <w:ilvl w:val="0"/>
          <w:numId w:val="14"/>
        </w:numPr>
        <w:rPr>
          <w:rFonts w:asciiTheme="minorHAnsi" w:hAnsiTheme="minorHAnsi"/>
          <w:lang w:eastAsia="en-US"/>
        </w:rPr>
      </w:pPr>
      <w:r w:rsidRPr="007F3363">
        <w:rPr>
          <w:rFonts w:asciiTheme="minorHAnsi" w:hAnsiTheme="minorHAnsi"/>
          <w:lang w:eastAsia="en-US"/>
        </w:rPr>
        <w:t>emitir parecer sobre os negócios ou atividades do RPPS;</w:t>
      </w:r>
    </w:p>
    <w:p w:rsidR="00B033F4" w:rsidRPr="007F3363" w:rsidRDefault="00B033F4" w:rsidP="00B033F4">
      <w:pPr>
        <w:pStyle w:val="PargrafodaLista"/>
        <w:numPr>
          <w:ilvl w:val="0"/>
          <w:numId w:val="14"/>
        </w:numPr>
        <w:rPr>
          <w:rFonts w:asciiTheme="minorHAnsi" w:hAnsiTheme="minorHAnsi"/>
          <w:lang w:eastAsia="en-US"/>
        </w:rPr>
      </w:pPr>
      <w:r w:rsidRPr="007F3363">
        <w:rPr>
          <w:rFonts w:asciiTheme="minorHAnsi" w:hAnsiTheme="minorHAnsi"/>
          <w:lang w:eastAsia="en-US"/>
        </w:rPr>
        <w:t>fiscalizar o cumprimento da legislação e das normas em vigor;</w:t>
      </w:r>
    </w:p>
    <w:p w:rsidR="00B033F4" w:rsidRPr="007F3363" w:rsidRDefault="00B033F4" w:rsidP="00B033F4">
      <w:pPr>
        <w:pStyle w:val="PargrafodaLista"/>
        <w:numPr>
          <w:ilvl w:val="0"/>
          <w:numId w:val="14"/>
        </w:numPr>
        <w:rPr>
          <w:rFonts w:asciiTheme="minorHAnsi" w:hAnsiTheme="minorHAnsi"/>
          <w:lang w:eastAsia="en-US"/>
        </w:rPr>
      </w:pPr>
      <w:r w:rsidRPr="007F3363">
        <w:rPr>
          <w:rFonts w:asciiTheme="minorHAnsi" w:hAnsiTheme="minorHAnsi"/>
          <w:lang w:eastAsia="en-US"/>
        </w:rPr>
        <w:t>requerer ao Conselho de Administração, caso necessário, a contratação de assessoria técnica;</w:t>
      </w:r>
    </w:p>
    <w:p w:rsidR="00B033F4" w:rsidRPr="007F3363" w:rsidRDefault="00B033F4" w:rsidP="00B033F4">
      <w:pPr>
        <w:pStyle w:val="PargrafodaLista"/>
        <w:numPr>
          <w:ilvl w:val="0"/>
          <w:numId w:val="14"/>
        </w:numPr>
        <w:rPr>
          <w:rFonts w:asciiTheme="minorHAnsi" w:hAnsiTheme="minorHAnsi"/>
          <w:lang w:eastAsia="en-US"/>
        </w:rPr>
      </w:pPr>
      <w:r w:rsidRPr="007F3363">
        <w:rPr>
          <w:rFonts w:asciiTheme="minorHAnsi" w:hAnsiTheme="minorHAnsi"/>
          <w:lang w:eastAsia="en-US"/>
        </w:rPr>
        <w:t>lavrar as atas de suas reuniões, inclusive os pareceres e os resultados dos exames procedidos;</w:t>
      </w:r>
    </w:p>
    <w:p w:rsidR="00B033F4" w:rsidRPr="007F3363" w:rsidRDefault="00B033F4" w:rsidP="00B033F4">
      <w:pPr>
        <w:pStyle w:val="PargrafodaLista"/>
        <w:numPr>
          <w:ilvl w:val="0"/>
          <w:numId w:val="14"/>
        </w:numPr>
        <w:rPr>
          <w:rFonts w:asciiTheme="minorHAnsi" w:hAnsiTheme="minorHAnsi"/>
          <w:lang w:eastAsia="en-US"/>
        </w:rPr>
      </w:pPr>
      <w:r w:rsidRPr="007F3363">
        <w:rPr>
          <w:rFonts w:asciiTheme="minorHAnsi" w:hAnsiTheme="minorHAnsi"/>
          <w:lang w:eastAsia="en-US"/>
        </w:rPr>
        <w:t>remeter ao Conselho de Administração parecer sobre as contas anuais do RPPS, bem como dos balancetes;</w:t>
      </w:r>
    </w:p>
    <w:p w:rsidR="00B033F4" w:rsidRPr="007F3363" w:rsidRDefault="00B033F4" w:rsidP="00B033F4">
      <w:pPr>
        <w:pStyle w:val="PargrafodaLista"/>
        <w:numPr>
          <w:ilvl w:val="0"/>
          <w:numId w:val="14"/>
        </w:numPr>
        <w:rPr>
          <w:rFonts w:asciiTheme="minorHAnsi" w:hAnsiTheme="minorHAnsi"/>
          <w:lang w:eastAsia="en-US"/>
        </w:rPr>
      </w:pPr>
      <w:proofErr w:type="gramStart"/>
      <w:r w:rsidRPr="007F3363">
        <w:rPr>
          <w:rFonts w:asciiTheme="minorHAnsi" w:hAnsiTheme="minorHAnsi"/>
          <w:lang w:eastAsia="en-US"/>
        </w:rPr>
        <w:t>sugerir</w:t>
      </w:r>
      <w:proofErr w:type="gramEnd"/>
      <w:r w:rsidRPr="007F3363">
        <w:rPr>
          <w:rFonts w:asciiTheme="minorHAnsi" w:hAnsiTheme="minorHAnsi"/>
          <w:lang w:eastAsia="en-US"/>
        </w:rPr>
        <w:t xml:space="preserve"> medidas para sanar irregularidades encontradas</w:t>
      </w:r>
      <w:r w:rsidR="0067784F">
        <w:rPr>
          <w:rFonts w:asciiTheme="minorHAnsi" w:hAnsiTheme="minorHAnsi"/>
          <w:lang w:eastAsia="en-US"/>
        </w:rPr>
        <w:t>.</w:t>
      </w:r>
    </w:p>
    <w:p w:rsidR="00B033F4" w:rsidRPr="007F3363" w:rsidRDefault="00B033F4" w:rsidP="0067784F">
      <w:pPr>
        <w:pStyle w:val="PargrafodaLista"/>
        <w:numPr>
          <w:ilvl w:val="0"/>
          <w:numId w:val="0"/>
        </w:numPr>
        <w:ind w:left="720"/>
        <w:rPr>
          <w:rFonts w:asciiTheme="minorHAnsi" w:hAnsiTheme="minorHAnsi"/>
          <w:lang w:eastAsia="en-US"/>
        </w:rPr>
      </w:pPr>
    </w:p>
    <w:p w:rsidR="00E66213" w:rsidRPr="007F3363" w:rsidRDefault="00E66213" w:rsidP="00CD207C">
      <w:pPr>
        <w:pStyle w:val="Ttulo2"/>
        <w:rPr>
          <w:rFonts w:asciiTheme="minorHAnsi" w:hAnsiTheme="minorHAnsi"/>
          <w:color w:val="auto"/>
          <w:sz w:val="24"/>
          <w:szCs w:val="24"/>
          <w:lang w:eastAsia="en-US"/>
        </w:rPr>
      </w:pPr>
      <w:bookmarkStart w:id="16" w:name="_Toc494961908"/>
      <w:r w:rsidRPr="007F3363">
        <w:rPr>
          <w:rFonts w:asciiTheme="minorHAnsi" w:hAnsiTheme="minorHAnsi"/>
          <w:color w:val="auto"/>
          <w:sz w:val="24"/>
          <w:szCs w:val="24"/>
          <w:lang w:eastAsia="en-US"/>
        </w:rPr>
        <w:lastRenderedPageBreak/>
        <w:t>Responsabilidades do Comitê de Investimentos</w:t>
      </w:r>
      <w:bookmarkEnd w:id="16"/>
    </w:p>
    <w:p w:rsidR="001921CD" w:rsidRPr="007F3363" w:rsidRDefault="005F355F" w:rsidP="00CD207C">
      <w:pPr>
        <w:ind w:firstLine="720"/>
        <w:rPr>
          <w:rFonts w:asciiTheme="minorHAnsi" w:hAnsiTheme="minorHAnsi" w:cs="Times New Roman"/>
          <w:lang w:eastAsia="en-US"/>
        </w:rPr>
      </w:pPr>
      <w:r w:rsidRPr="007F3363">
        <w:rPr>
          <w:rFonts w:asciiTheme="minorHAnsi" w:hAnsiTheme="minorHAnsi"/>
        </w:rPr>
        <w:t>Segundo Portaria MPS 519/2011 e alterações, o Comitê de Investimentos é um</w:t>
      </w:r>
      <w:r w:rsidR="00CE1A29" w:rsidRPr="007F3363">
        <w:rPr>
          <w:rFonts w:asciiTheme="minorHAnsi" w:hAnsiTheme="minorHAnsi"/>
        </w:rPr>
        <w:t xml:space="preserve"> órgão auxiliar</w:t>
      </w:r>
      <w:r w:rsidRPr="007F3363">
        <w:rPr>
          <w:rFonts w:asciiTheme="minorHAnsi" w:hAnsiTheme="minorHAnsi"/>
        </w:rPr>
        <w:t>,</w:t>
      </w:r>
      <w:r w:rsidRPr="007F3363">
        <w:rPr>
          <w:rFonts w:asciiTheme="minorHAnsi" w:hAnsiTheme="minorHAnsi" w:cs="Calibri"/>
          <w:lang w:eastAsia="en-US"/>
        </w:rPr>
        <w:t xml:space="preserve"> </w:t>
      </w:r>
      <w:r w:rsidRPr="007F3363">
        <w:rPr>
          <w:rFonts w:asciiTheme="minorHAnsi" w:hAnsiTheme="minorHAnsi"/>
        </w:rPr>
        <w:t>de caráter consultivo e deliberativo,</w:t>
      </w:r>
      <w:r w:rsidR="00CE1A29" w:rsidRPr="007F3363">
        <w:rPr>
          <w:rFonts w:asciiTheme="minorHAnsi" w:hAnsiTheme="minorHAnsi" w:cs="Calibri"/>
          <w:lang w:eastAsia="en-US"/>
        </w:rPr>
        <w:t xml:space="preserve"> </w:t>
      </w:r>
      <w:r w:rsidRPr="007F3363">
        <w:rPr>
          <w:rFonts w:asciiTheme="minorHAnsi" w:hAnsiTheme="minorHAnsi"/>
        </w:rPr>
        <w:t>no processo decisório quanto à execução da política de investimentos, cujas decisões deverão ser sempre registradas em ata. Em termos gerais, o Comitê de Investimentos é um instrumento que visa garantir a consistência da gestão dos recursos d</w:t>
      </w:r>
      <w:r w:rsidR="002A505C" w:rsidRPr="007F3363">
        <w:rPr>
          <w:rFonts w:asciiTheme="minorHAnsi" w:hAnsiTheme="minorHAnsi"/>
        </w:rPr>
        <w:t>o Fundo</w:t>
      </w:r>
      <w:r w:rsidRPr="007F3363">
        <w:rPr>
          <w:rFonts w:asciiTheme="minorHAnsi" w:hAnsiTheme="minorHAnsi"/>
        </w:rPr>
        <w:t>, e a manutenção do equilíbrio econômico-financeiro de seus ativos e passivos.</w:t>
      </w:r>
    </w:p>
    <w:p w:rsidR="00CE1A29" w:rsidRPr="007F3363" w:rsidRDefault="001921CD" w:rsidP="00CD207C">
      <w:pPr>
        <w:ind w:firstLine="709"/>
        <w:rPr>
          <w:rFonts w:asciiTheme="minorHAnsi" w:hAnsiTheme="minorHAnsi"/>
          <w:lang w:eastAsia="en-US"/>
        </w:rPr>
      </w:pPr>
      <w:r w:rsidRPr="007F3363">
        <w:rPr>
          <w:rFonts w:asciiTheme="minorHAnsi" w:hAnsiTheme="minorHAnsi"/>
          <w:lang w:eastAsia="en-US"/>
        </w:rPr>
        <w:t>Compete ao Comitê de Investimentos:</w:t>
      </w:r>
    </w:p>
    <w:p w:rsidR="00CE1A29" w:rsidRPr="00177E7C" w:rsidRDefault="001921CD" w:rsidP="00CD207C">
      <w:pPr>
        <w:pStyle w:val="PargrafodaLista"/>
        <w:numPr>
          <w:ilvl w:val="0"/>
          <w:numId w:val="15"/>
        </w:numPr>
        <w:ind w:left="709" w:hanging="283"/>
        <w:rPr>
          <w:rFonts w:asciiTheme="minorHAnsi" w:hAnsiTheme="minorHAnsi"/>
          <w:lang w:eastAsia="en-US"/>
        </w:rPr>
      </w:pPr>
      <w:r w:rsidRPr="00177E7C">
        <w:rPr>
          <w:rFonts w:asciiTheme="minorHAnsi" w:hAnsiTheme="minorHAnsi"/>
          <w:lang w:eastAsia="en-US"/>
        </w:rPr>
        <w:t>a</w:t>
      </w:r>
      <w:r w:rsidR="00CE1A29" w:rsidRPr="00177E7C">
        <w:rPr>
          <w:rFonts w:asciiTheme="minorHAnsi" w:hAnsiTheme="minorHAnsi"/>
          <w:lang w:eastAsia="en-US"/>
        </w:rPr>
        <w:t>provar e prop</w:t>
      </w:r>
      <w:r w:rsidRPr="00177E7C">
        <w:rPr>
          <w:rFonts w:asciiTheme="minorHAnsi" w:hAnsiTheme="minorHAnsi"/>
          <w:lang w:eastAsia="en-US"/>
        </w:rPr>
        <w:t>or modificações à</w:t>
      </w:r>
      <w:r w:rsidR="00CE1A29" w:rsidRPr="00177E7C">
        <w:rPr>
          <w:rFonts w:asciiTheme="minorHAnsi" w:hAnsiTheme="minorHAnsi"/>
          <w:lang w:eastAsia="en-US"/>
        </w:rPr>
        <w:t xml:space="preserve"> Política Anual de Investimentos a ser submetida ao Conselho de Administração do Regime </w:t>
      </w:r>
      <w:r w:rsidRPr="00177E7C">
        <w:rPr>
          <w:rFonts w:asciiTheme="minorHAnsi" w:hAnsiTheme="minorHAnsi"/>
          <w:lang w:eastAsia="en-US"/>
        </w:rPr>
        <w:t>Próprio de Previdência Social;</w:t>
      </w:r>
    </w:p>
    <w:p w:rsidR="00CE1A29" w:rsidRPr="00177E7C" w:rsidRDefault="001921CD" w:rsidP="00CD207C">
      <w:pPr>
        <w:pStyle w:val="PargrafodaLista"/>
        <w:numPr>
          <w:ilvl w:val="0"/>
          <w:numId w:val="15"/>
        </w:numPr>
        <w:ind w:left="709" w:hanging="283"/>
        <w:rPr>
          <w:rFonts w:asciiTheme="minorHAnsi" w:hAnsiTheme="minorHAnsi"/>
          <w:lang w:eastAsia="en-US"/>
        </w:rPr>
      </w:pPr>
      <w:r w:rsidRPr="00177E7C">
        <w:rPr>
          <w:rFonts w:asciiTheme="minorHAnsi" w:hAnsiTheme="minorHAnsi"/>
          <w:lang w:eastAsia="en-US"/>
        </w:rPr>
        <w:t>d</w:t>
      </w:r>
      <w:r w:rsidR="00CE1A29" w:rsidRPr="00177E7C">
        <w:rPr>
          <w:rFonts w:asciiTheme="minorHAnsi" w:hAnsiTheme="minorHAnsi"/>
          <w:lang w:eastAsia="en-US"/>
        </w:rPr>
        <w:t>eliberar sobre a alocação de recursos;</w:t>
      </w:r>
    </w:p>
    <w:p w:rsidR="001921CD" w:rsidRPr="007F3363" w:rsidRDefault="001921CD" w:rsidP="00CD207C">
      <w:pPr>
        <w:pStyle w:val="PargrafodaLista"/>
        <w:numPr>
          <w:ilvl w:val="0"/>
          <w:numId w:val="15"/>
        </w:numPr>
        <w:ind w:left="709" w:hanging="283"/>
        <w:rPr>
          <w:rFonts w:asciiTheme="minorHAnsi" w:hAnsiTheme="minorHAnsi"/>
          <w:lang w:eastAsia="en-US"/>
        </w:rPr>
      </w:pPr>
      <w:r w:rsidRPr="007F3363">
        <w:rPr>
          <w:rFonts w:asciiTheme="minorHAnsi" w:hAnsiTheme="minorHAnsi"/>
          <w:lang w:eastAsia="en-US"/>
        </w:rPr>
        <w:t>fornecer subsídios para a elaboração ou alteração da política de investimentos;</w:t>
      </w:r>
    </w:p>
    <w:p w:rsidR="001921CD" w:rsidRPr="007F3363" w:rsidRDefault="001921CD" w:rsidP="00CD207C">
      <w:pPr>
        <w:pStyle w:val="PargrafodaLista"/>
        <w:numPr>
          <w:ilvl w:val="0"/>
          <w:numId w:val="15"/>
        </w:numPr>
        <w:ind w:left="709" w:hanging="283"/>
        <w:rPr>
          <w:rFonts w:asciiTheme="minorHAnsi" w:hAnsiTheme="minorHAnsi"/>
          <w:lang w:eastAsia="en-US"/>
        </w:rPr>
      </w:pPr>
      <w:r w:rsidRPr="007F3363">
        <w:rPr>
          <w:rFonts w:asciiTheme="minorHAnsi" w:hAnsiTheme="minorHAnsi"/>
          <w:lang w:eastAsia="en-US"/>
        </w:rPr>
        <w:t>acompanhar a execução da política de investimentos;</w:t>
      </w:r>
    </w:p>
    <w:p w:rsidR="001921CD" w:rsidRPr="007F3363" w:rsidRDefault="001921CD" w:rsidP="00CD207C">
      <w:pPr>
        <w:pStyle w:val="PargrafodaLista"/>
        <w:numPr>
          <w:ilvl w:val="0"/>
          <w:numId w:val="15"/>
        </w:numPr>
        <w:ind w:left="709" w:hanging="283"/>
        <w:rPr>
          <w:rFonts w:asciiTheme="minorHAnsi" w:hAnsiTheme="minorHAnsi"/>
          <w:lang w:eastAsia="en-US"/>
        </w:rPr>
      </w:pPr>
      <w:r w:rsidRPr="007F3363">
        <w:rPr>
          <w:rFonts w:asciiTheme="minorHAnsi" w:hAnsiTheme="minorHAnsi"/>
          <w:lang w:eastAsia="en-US"/>
        </w:rPr>
        <w:t>a</w:t>
      </w:r>
      <w:r w:rsidR="00CE1A29" w:rsidRPr="007F3363">
        <w:rPr>
          <w:rFonts w:asciiTheme="minorHAnsi" w:hAnsiTheme="minorHAnsi"/>
          <w:lang w:eastAsia="en-US"/>
        </w:rPr>
        <w:t>nalisar a conjuntura, cenários e perspectivas do mercado financeiro</w:t>
      </w:r>
      <w:r w:rsidRPr="007F3363">
        <w:rPr>
          <w:rFonts w:asciiTheme="minorHAnsi" w:hAnsiTheme="minorHAnsi"/>
          <w:lang w:eastAsia="en-US"/>
        </w:rPr>
        <w:t xml:space="preserve">, avaliando riscos potenciais </w:t>
      </w:r>
      <w:r w:rsidR="005F355F" w:rsidRPr="007F3363">
        <w:rPr>
          <w:rFonts w:asciiTheme="minorHAnsi" w:hAnsiTheme="minorHAnsi"/>
          <w:lang w:eastAsia="en-US"/>
        </w:rPr>
        <w:t>à</w:t>
      </w:r>
      <w:r w:rsidRPr="007F3363">
        <w:rPr>
          <w:rFonts w:asciiTheme="minorHAnsi" w:hAnsiTheme="minorHAnsi"/>
          <w:lang w:eastAsia="en-US"/>
        </w:rPr>
        <w:t xml:space="preserve"> carteira de investimentos;</w:t>
      </w:r>
    </w:p>
    <w:p w:rsidR="001921CD" w:rsidRPr="007F3363" w:rsidRDefault="001921CD" w:rsidP="00CD207C">
      <w:pPr>
        <w:pStyle w:val="PargrafodaLista"/>
        <w:numPr>
          <w:ilvl w:val="0"/>
          <w:numId w:val="15"/>
        </w:numPr>
        <w:ind w:left="709" w:hanging="283"/>
        <w:rPr>
          <w:rFonts w:asciiTheme="minorHAnsi" w:hAnsiTheme="minorHAnsi"/>
          <w:lang w:eastAsia="en-US"/>
        </w:rPr>
      </w:pPr>
      <w:r w:rsidRPr="007F3363">
        <w:rPr>
          <w:rFonts w:asciiTheme="minorHAnsi" w:hAnsiTheme="minorHAnsi"/>
          <w:lang w:eastAsia="en-US"/>
        </w:rPr>
        <w:t>zelar pela execução da programação econômico-financeira dos valores patrimoniais;</w:t>
      </w:r>
    </w:p>
    <w:p w:rsidR="001921CD" w:rsidRPr="007F3363" w:rsidRDefault="001921CD" w:rsidP="00CD207C">
      <w:pPr>
        <w:pStyle w:val="PargrafodaLista"/>
        <w:numPr>
          <w:ilvl w:val="0"/>
          <w:numId w:val="15"/>
        </w:numPr>
        <w:ind w:left="709" w:hanging="283"/>
        <w:rPr>
          <w:rFonts w:asciiTheme="minorHAnsi" w:hAnsiTheme="minorHAnsi"/>
          <w:lang w:eastAsia="en-US"/>
        </w:rPr>
      </w:pPr>
      <w:r w:rsidRPr="007F3363">
        <w:rPr>
          <w:rFonts w:asciiTheme="minorHAnsi" w:hAnsiTheme="minorHAnsi"/>
          <w:lang w:eastAsia="en-US"/>
        </w:rPr>
        <w:t>deliberar e aprovar a contratação de consultoria técnica na área de investimentos;</w:t>
      </w:r>
    </w:p>
    <w:p w:rsidR="001921CD" w:rsidRPr="007F3363" w:rsidRDefault="001921CD" w:rsidP="00CD207C">
      <w:pPr>
        <w:pStyle w:val="PargrafodaLista"/>
        <w:numPr>
          <w:ilvl w:val="0"/>
          <w:numId w:val="15"/>
        </w:numPr>
        <w:ind w:left="709" w:hanging="283"/>
        <w:rPr>
          <w:rFonts w:asciiTheme="minorHAnsi" w:hAnsiTheme="minorHAnsi"/>
          <w:lang w:eastAsia="en-US"/>
        </w:rPr>
      </w:pPr>
      <w:r w:rsidRPr="007F3363">
        <w:rPr>
          <w:rFonts w:asciiTheme="minorHAnsi" w:hAnsiTheme="minorHAnsi"/>
          <w:lang w:eastAsia="en-US"/>
        </w:rPr>
        <w:t>propor estratégias de investimentos para um determinado período;</w:t>
      </w:r>
    </w:p>
    <w:p w:rsidR="00D50813" w:rsidRPr="007F3363" w:rsidRDefault="001921CD" w:rsidP="00CD207C">
      <w:pPr>
        <w:pStyle w:val="PargrafodaLista"/>
        <w:numPr>
          <w:ilvl w:val="0"/>
          <w:numId w:val="15"/>
        </w:numPr>
        <w:ind w:left="709" w:hanging="283"/>
        <w:rPr>
          <w:rFonts w:asciiTheme="minorHAnsi" w:hAnsiTheme="minorHAnsi"/>
          <w:lang w:eastAsia="en-US"/>
        </w:rPr>
      </w:pPr>
      <w:r w:rsidRPr="007F3363">
        <w:rPr>
          <w:rFonts w:asciiTheme="minorHAnsi" w:hAnsiTheme="minorHAnsi"/>
          <w:lang w:eastAsia="en-US"/>
        </w:rPr>
        <w:t>apresentar relatório consolidado dos Investimentos ao Conselho de Administração do Regime Próprio de Previdência Social</w:t>
      </w:r>
      <w:r w:rsidR="005F355F" w:rsidRPr="007F3363">
        <w:rPr>
          <w:rFonts w:asciiTheme="minorHAnsi" w:hAnsiTheme="minorHAnsi"/>
          <w:lang w:eastAsia="en-US"/>
        </w:rPr>
        <w:t>.</w:t>
      </w:r>
    </w:p>
    <w:p w:rsidR="00950B29" w:rsidRPr="007F3363" w:rsidRDefault="00950B29" w:rsidP="00CD207C">
      <w:pPr>
        <w:pStyle w:val="Ttulo1"/>
        <w:rPr>
          <w:rFonts w:asciiTheme="minorHAnsi" w:hAnsiTheme="minorHAnsi"/>
          <w:sz w:val="24"/>
          <w:szCs w:val="24"/>
          <w:lang w:eastAsia="en-US"/>
        </w:rPr>
      </w:pPr>
    </w:p>
    <w:p w:rsidR="00950B29" w:rsidRPr="007F3363" w:rsidRDefault="00950B29" w:rsidP="00CD207C">
      <w:pPr>
        <w:pStyle w:val="Ttulo1"/>
        <w:rPr>
          <w:rFonts w:asciiTheme="minorHAnsi" w:hAnsiTheme="minorHAnsi"/>
          <w:sz w:val="24"/>
          <w:szCs w:val="24"/>
          <w:lang w:eastAsia="en-US"/>
        </w:rPr>
      </w:pPr>
    </w:p>
    <w:p w:rsidR="00866BF8" w:rsidRPr="007F3363" w:rsidRDefault="007A32BE" w:rsidP="00CD207C">
      <w:pPr>
        <w:pStyle w:val="Ttulo1"/>
        <w:rPr>
          <w:rFonts w:asciiTheme="minorHAnsi" w:hAnsiTheme="minorHAnsi"/>
          <w:sz w:val="24"/>
          <w:szCs w:val="24"/>
          <w:lang w:eastAsia="en-US"/>
        </w:rPr>
      </w:pPr>
      <w:bookmarkStart w:id="17" w:name="_Toc494961910"/>
      <w:r w:rsidRPr="007F3363">
        <w:rPr>
          <w:rFonts w:asciiTheme="minorHAnsi" w:hAnsiTheme="minorHAnsi"/>
          <w:sz w:val="24"/>
          <w:szCs w:val="24"/>
          <w:lang w:eastAsia="en-US"/>
        </w:rPr>
        <w:t>Segmentos de Aplicação e Limites</w:t>
      </w:r>
      <w:bookmarkEnd w:id="17"/>
      <w:r w:rsidR="00866BF8" w:rsidRPr="007F3363">
        <w:rPr>
          <w:rFonts w:asciiTheme="minorHAnsi" w:hAnsiTheme="minorHAnsi"/>
          <w:sz w:val="24"/>
          <w:szCs w:val="24"/>
          <w:lang w:eastAsia="en-US"/>
        </w:rPr>
        <w:t xml:space="preserve"> </w:t>
      </w:r>
    </w:p>
    <w:p w:rsidR="00950B29" w:rsidRPr="007F3363" w:rsidRDefault="00950B29" w:rsidP="00CD207C">
      <w:pPr>
        <w:pStyle w:val="Ttulo2"/>
        <w:rPr>
          <w:rFonts w:asciiTheme="minorHAnsi" w:hAnsiTheme="minorHAnsi"/>
          <w:color w:val="auto"/>
          <w:sz w:val="24"/>
          <w:szCs w:val="24"/>
          <w:lang w:eastAsia="en-US"/>
        </w:rPr>
      </w:pPr>
    </w:p>
    <w:p w:rsidR="00D207B7" w:rsidRPr="007F3363" w:rsidRDefault="00D207B7" w:rsidP="00CD207C">
      <w:pPr>
        <w:pStyle w:val="Ttulo2"/>
        <w:rPr>
          <w:rFonts w:asciiTheme="minorHAnsi" w:hAnsiTheme="minorHAnsi"/>
          <w:color w:val="auto"/>
          <w:sz w:val="24"/>
          <w:szCs w:val="24"/>
          <w:lang w:eastAsia="en-US"/>
        </w:rPr>
      </w:pPr>
      <w:bookmarkStart w:id="18" w:name="_Toc494961911"/>
      <w:r w:rsidRPr="007F3363">
        <w:rPr>
          <w:rFonts w:asciiTheme="minorHAnsi" w:hAnsiTheme="minorHAnsi"/>
          <w:color w:val="auto"/>
          <w:sz w:val="24"/>
          <w:szCs w:val="24"/>
          <w:lang w:eastAsia="en-US"/>
        </w:rPr>
        <w:t>Limites de Alocação dos Recursos – Resolução 3.922/2010</w:t>
      </w:r>
      <w:bookmarkEnd w:id="18"/>
    </w:p>
    <w:p w:rsidR="00CE3812" w:rsidRPr="007F3363" w:rsidRDefault="00F07176" w:rsidP="00CE3812">
      <w:pPr>
        <w:ind w:firstLine="720"/>
      </w:pPr>
      <w:r w:rsidRPr="007F3363">
        <w:rPr>
          <w:rFonts w:asciiTheme="minorHAnsi" w:hAnsiTheme="minorHAnsi"/>
          <w:lang w:eastAsia="en-US"/>
        </w:rPr>
        <w:t xml:space="preserve">O </w:t>
      </w:r>
      <w:r w:rsidR="001E3220" w:rsidRPr="007F3363">
        <w:rPr>
          <w:rFonts w:asciiTheme="minorHAnsi" w:hAnsiTheme="minorHAnsi"/>
        </w:rPr>
        <w:t xml:space="preserve">RPPS – </w:t>
      </w:r>
      <w:r w:rsidR="0073786F" w:rsidRPr="007F3363">
        <w:rPr>
          <w:rFonts w:asciiTheme="minorHAnsi" w:hAnsiTheme="minorHAnsi"/>
        </w:rPr>
        <w:t>São Nicolau</w:t>
      </w:r>
      <w:r w:rsidR="000C0551" w:rsidRPr="007F3363">
        <w:rPr>
          <w:rFonts w:asciiTheme="minorHAnsi" w:hAnsiTheme="minorHAnsi"/>
          <w:lang w:eastAsia="en-US"/>
        </w:rPr>
        <w:t xml:space="preserve"> </w:t>
      </w:r>
      <w:r w:rsidR="00CE3812" w:rsidRPr="007F3363">
        <w:rPr>
          <w:rFonts w:asciiTheme="minorHAnsi" w:hAnsiTheme="minorHAnsi"/>
          <w:lang w:eastAsia="en-US"/>
        </w:rPr>
        <w:t xml:space="preserve">decidiu pela não imposição de limites de alocação de recursos mais restritivos, além dos constantes na legislação em vigor, gozando, assim, de total liberdade para alocar recursos onde vislumbrar melhor relação risco x retorno. Desta forma, a aplicação dos recursos do fundo observará as limitações, vedações e condições estabelecidas na Resolução 3.922/2010. </w:t>
      </w:r>
    </w:p>
    <w:p w:rsidR="00CE3812" w:rsidRPr="007F3363" w:rsidRDefault="00CE3812" w:rsidP="00CE3812">
      <w:pPr>
        <w:pStyle w:val="Heading31"/>
        <w:rPr>
          <w:rFonts w:asciiTheme="minorHAnsi" w:hAnsiTheme="minorHAnsi"/>
          <w:color w:val="00000A"/>
          <w:lang w:eastAsia="en-US"/>
        </w:rPr>
      </w:pPr>
      <w:bookmarkStart w:id="19" w:name="_Toc495346470"/>
      <w:r w:rsidRPr="007F3363">
        <w:rPr>
          <w:rFonts w:asciiTheme="minorHAnsi" w:hAnsiTheme="minorHAnsi"/>
          <w:color w:val="00000A"/>
          <w:lang w:eastAsia="en-US"/>
        </w:rPr>
        <w:lastRenderedPageBreak/>
        <w:t>Segmento de Renda Fixa</w:t>
      </w:r>
      <w:bookmarkEnd w:id="19"/>
      <w:r w:rsidRPr="007F3363">
        <w:rPr>
          <w:rFonts w:asciiTheme="minorHAnsi" w:hAnsiTheme="minorHAnsi"/>
          <w:color w:val="00000A"/>
          <w:lang w:eastAsia="en-US"/>
        </w:rPr>
        <w:t xml:space="preserve"> </w:t>
      </w:r>
    </w:p>
    <w:p w:rsidR="00CE3812" w:rsidRPr="007F3363" w:rsidRDefault="00CE3812" w:rsidP="00CE3812">
      <w:pPr>
        <w:ind w:firstLine="720"/>
        <w:rPr>
          <w:rFonts w:asciiTheme="minorHAnsi" w:hAnsiTheme="minorHAnsi"/>
          <w:lang w:eastAsia="en-US"/>
        </w:rPr>
      </w:pPr>
      <w:r w:rsidRPr="007F3363">
        <w:rPr>
          <w:rFonts w:asciiTheme="minorHAnsi" w:hAnsiTheme="minorHAnsi"/>
          <w:lang w:eastAsia="en-US"/>
        </w:rPr>
        <w:t>Neste segmento, os recursos do RPPS serão aplicados em carteira própria de títulos de emissão do Tesouro Nacional, em operações compromissadas com lastro exclusivamente nesses títulos do Tesouro Nacional, em caderneta de poupança ou em fundos de investimento, conforme tabela abaixo:</w:t>
      </w:r>
    </w:p>
    <w:tbl>
      <w:tblPr>
        <w:tblW w:w="10080" w:type="dxa"/>
        <w:tblInd w:w="93" w:type="dxa"/>
        <w:tblBorders>
          <w:top w:val="single" w:sz="4" w:space="0" w:color="00000A"/>
        </w:tblBorders>
        <w:tblLook w:val="04A0" w:firstRow="1" w:lastRow="0" w:firstColumn="1" w:lastColumn="0" w:noHBand="0" w:noVBand="1"/>
      </w:tblPr>
      <w:tblGrid>
        <w:gridCol w:w="7219"/>
        <w:gridCol w:w="2861"/>
      </w:tblGrid>
      <w:tr w:rsidR="00CE3812" w:rsidRPr="007F3363" w:rsidTr="00075B8E">
        <w:trPr>
          <w:trHeight w:val="300"/>
        </w:trPr>
        <w:tc>
          <w:tcPr>
            <w:tcW w:w="10079" w:type="dxa"/>
            <w:gridSpan w:val="2"/>
            <w:tcBorders>
              <w:top w:val="single" w:sz="4" w:space="0" w:color="00000A"/>
            </w:tcBorders>
            <w:shd w:val="clear" w:color="000000" w:fill="F2F2F2"/>
            <w:vAlign w:val="center"/>
          </w:tcPr>
          <w:p w:rsidR="00CE3812" w:rsidRPr="007F3363" w:rsidRDefault="00CE3812" w:rsidP="00075B8E">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ALOCAÇÃO DE RECURSOS - RESOLUÇÃO 3.922/2010</w:t>
            </w:r>
          </w:p>
        </w:tc>
      </w:tr>
      <w:tr w:rsidR="00CE3812" w:rsidRPr="007F3363" w:rsidTr="00075B8E">
        <w:trPr>
          <w:trHeight w:val="300"/>
        </w:trPr>
        <w:tc>
          <w:tcPr>
            <w:tcW w:w="7218" w:type="dxa"/>
            <w:tcBorders>
              <w:top w:val="single" w:sz="4" w:space="0" w:color="00000A"/>
              <w:bottom w:val="single" w:sz="4" w:space="0" w:color="00000A"/>
            </w:tcBorders>
            <w:shd w:val="clear" w:color="000000" w:fill="F2F2F2"/>
            <w:vAlign w:val="bottom"/>
          </w:tcPr>
          <w:p w:rsidR="00CE3812" w:rsidRPr="007F3363" w:rsidRDefault="00CE3812" w:rsidP="00075B8E">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Renda Fixa - Art. 7°</w:t>
            </w:r>
          </w:p>
        </w:tc>
        <w:tc>
          <w:tcPr>
            <w:tcW w:w="2861" w:type="dxa"/>
            <w:tcBorders>
              <w:top w:val="single" w:sz="4" w:space="0" w:color="00000A"/>
              <w:bottom w:val="single" w:sz="4" w:space="0" w:color="00000A"/>
            </w:tcBorders>
            <w:shd w:val="clear" w:color="000000" w:fill="F2F2F2"/>
            <w:vAlign w:val="bottom"/>
          </w:tcPr>
          <w:p w:rsidR="00CE3812" w:rsidRPr="007F3363" w:rsidRDefault="00CE3812" w:rsidP="00075B8E">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Alocação Limite</w:t>
            </w:r>
          </w:p>
        </w:tc>
      </w:tr>
      <w:tr w:rsidR="00CE3812" w:rsidRPr="007F3363" w:rsidTr="00075B8E">
        <w:trPr>
          <w:trHeight w:val="300"/>
        </w:trPr>
        <w:tc>
          <w:tcPr>
            <w:tcW w:w="7218"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left"/>
              <w:rPr>
                <w:b/>
                <w:bCs/>
              </w:rPr>
            </w:pPr>
            <w:r w:rsidRPr="007F3363">
              <w:rPr>
                <w:rFonts w:ascii="Cambria" w:eastAsia="Times New Roman" w:hAnsi="Cambria" w:cs="Cambria"/>
                <w:b/>
                <w:bCs/>
                <w:lang w:eastAsia="en-US"/>
              </w:rPr>
              <w:t>Títulos Tesouro Nacional - Art. 7°, I, "a"</w:t>
            </w:r>
          </w:p>
        </w:tc>
        <w:tc>
          <w:tcPr>
            <w:tcW w:w="2861"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100%</w:t>
            </w:r>
          </w:p>
        </w:tc>
      </w:tr>
      <w:tr w:rsidR="00CE3812" w:rsidRPr="007F3363" w:rsidTr="00075B8E">
        <w:trPr>
          <w:trHeight w:val="300"/>
        </w:trPr>
        <w:tc>
          <w:tcPr>
            <w:tcW w:w="7218"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left"/>
              <w:rPr>
                <w:b/>
                <w:bCs/>
              </w:rPr>
            </w:pPr>
            <w:r w:rsidRPr="007F3363">
              <w:rPr>
                <w:rFonts w:ascii="Cambria" w:eastAsia="Times New Roman" w:hAnsi="Cambria" w:cs="Cambria"/>
                <w:b/>
                <w:bCs/>
                <w:lang w:eastAsia="en-US"/>
              </w:rPr>
              <w:t>FI 100% Títulos TN - Art. 7°, I, "b"</w:t>
            </w:r>
          </w:p>
        </w:tc>
        <w:tc>
          <w:tcPr>
            <w:tcW w:w="2861"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100%</w:t>
            </w:r>
          </w:p>
        </w:tc>
      </w:tr>
      <w:tr w:rsidR="00CE3812" w:rsidRPr="007F3363" w:rsidTr="00075B8E">
        <w:trPr>
          <w:trHeight w:val="300"/>
        </w:trPr>
        <w:tc>
          <w:tcPr>
            <w:tcW w:w="7218"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left"/>
              <w:rPr>
                <w:rFonts w:ascii="Cambria" w:eastAsia="Times New Roman" w:hAnsi="Cambria" w:cs="Cambria"/>
                <w:lang w:eastAsia="en-US"/>
              </w:rPr>
            </w:pPr>
            <w:proofErr w:type="spellStart"/>
            <w:r w:rsidRPr="007F3363">
              <w:rPr>
                <w:rFonts w:ascii="Cambria" w:eastAsia="Times New Roman" w:hAnsi="Cambria" w:cs="Cambria"/>
                <w:b/>
                <w:bCs/>
                <w:lang w:eastAsia="en-US"/>
              </w:rPr>
              <w:t>ETF's</w:t>
            </w:r>
            <w:proofErr w:type="spellEnd"/>
            <w:r w:rsidRPr="007F3363">
              <w:rPr>
                <w:rFonts w:ascii="Cambria" w:eastAsia="Times New Roman" w:hAnsi="Cambria" w:cs="Cambria"/>
                <w:b/>
                <w:bCs/>
                <w:lang w:eastAsia="en-US"/>
              </w:rPr>
              <w:t xml:space="preserve"> de Renda Fixa - Art. 7ᵒ, I, "c"</w:t>
            </w:r>
          </w:p>
        </w:tc>
        <w:tc>
          <w:tcPr>
            <w:tcW w:w="2861"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100%</w:t>
            </w:r>
          </w:p>
        </w:tc>
      </w:tr>
      <w:tr w:rsidR="00CE3812" w:rsidRPr="007F3363" w:rsidTr="00075B8E">
        <w:trPr>
          <w:trHeight w:val="300"/>
        </w:trPr>
        <w:tc>
          <w:tcPr>
            <w:tcW w:w="7218"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left"/>
              <w:rPr>
                <w:b/>
                <w:bCs/>
              </w:rPr>
            </w:pPr>
            <w:r w:rsidRPr="007F3363">
              <w:rPr>
                <w:rFonts w:ascii="Cambria" w:eastAsia="Times New Roman" w:hAnsi="Cambria" w:cs="Cambria"/>
                <w:b/>
                <w:bCs/>
                <w:lang w:eastAsia="en-US"/>
              </w:rPr>
              <w:t>Operações Compromissadas - Art. 7°, II</w:t>
            </w:r>
          </w:p>
        </w:tc>
        <w:tc>
          <w:tcPr>
            <w:tcW w:w="2861"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5%</w:t>
            </w:r>
          </w:p>
        </w:tc>
      </w:tr>
      <w:tr w:rsidR="00CE3812" w:rsidRPr="007F3363" w:rsidTr="00075B8E">
        <w:trPr>
          <w:trHeight w:val="300"/>
        </w:trPr>
        <w:tc>
          <w:tcPr>
            <w:tcW w:w="7218"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left"/>
              <w:rPr>
                <w:b/>
                <w:bCs/>
              </w:rPr>
            </w:pPr>
            <w:r w:rsidRPr="007F3363">
              <w:rPr>
                <w:rFonts w:ascii="Cambria" w:eastAsia="Times New Roman" w:hAnsi="Cambria" w:cs="Cambria"/>
                <w:b/>
                <w:bCs/>
                <w:lang w:eastAsia="en-US"/>
              </w:rPr>
              <w:t>Fundos de Investimento de Renda Fixa/ Referenciado - Aberto - RF - Art. 7°, III, "a"</w:t>
            </w:r>
          </w:p>
        </w:tc>
        <w:tc>
          <w:tcPr>
            <w:tcW w:w="2861"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60%</w:t>
            </w:r>
          </w:p>
        </w:tc>
      </w:tr>
      <w:tr w:rsidR="00CE3812" w:rsidRPr="007F3363" w:rsidTr="00075B8E">
        <w:trPr>
          <w:trHeight w:val="300"/>
        </w:trPr>
        <w:tc>
          <w:tcPr>
            <w:tcW w:w="7218"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left"/>
              <w:rPr>
                <w:b/>
                <w:bCs/>
              </w:rPr>
            </w:pPr>
            <w:proofErr w:type="spellStart"/>
            <w:r w:rsidRPr="007F3363">
              <w:rPr>
                <w:rFonts w:ascii="Cambria" w:eastAsia="Times New Roman" w:hAnsi="Cambria" w:cs="Cambria"/>
                <w:b/>
                <w:bCs/>
                <w:lang w:eastAsia="en-US"/>
              </w:rPr>
              <w:t>ETF's</w:t>
            </w:r>
            <w:proofErr w:type="spellEnd"/>
            <w:r w:rsidRPr="007F3363">
              <w:rPr>
                <w:rFonts w:ascii="Cambria" w:eastAsia="Times New Roman" w:hAnsi="Cambria" w:cs="Cambria"/>
                <w:b/>
                <w:bCs/>
                <w:lang w:eastAsia="en-US"/>
              </w:rPr>
              <w:t xml:space="preserve"> de Renda Fixa/Referenciados RF - Art. 7°, III, "b"</w:t>
            </w:r>
          </w:p>
        </w:tc>
        <w:tc>
          <w:tcPr>
            <w:tcW w:w="2861"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60%</w:t>
            </w:r>
          </w:p>
        </w:tc>
      </w:tr>
      <w:tr w:rsidR="00CE3812" w:rsidRPr="007F3363" w:rsidTr="00075B8E">
        <w:trPr>
          <w:trHeight w:val="300"/>
        </w:trPr>
        <w:tc>
          <w:tcPr>
            <w:tcW w:w="7218"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left"/>
              <w:rPr>
                <w:b/>
                <w:bCs/>
              </w:rPr>
            </w:pPr>
            <w:r w:rsidRPr="007F3363">
              <w:rPr>
                <w:rFonts w:ascii="Cambria" w:eastAsia="Times New Roman" w:hAnsi="Cambria" w:cs="Cambria"/>
                <w:b/>
                <w:bCs/>
                <w:lang w:eastAsia="en-US"/>
              </w:rPr>
              <w:t>Fundos de Investimento de Renda Fixa Aberto - Art. 7°, IV, "a"</w:t>
            </w:r>
          </w:p>
        </w:tc>
        <w:tc>
          <w:tcPr>
            <w:tcW w:w="2861"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40%</w:t>
            </w:r>
          </w:p>
        </w:tc>
      </w:tr>
      <w:tr w:rsidR="00CE3812" w:rsidRPr="007F3363" w:rsidTr="00075B8E">
        <w:trPr>
          <w:trHeight w:val="300"/>
        </w:trPr>
        <w:tc>
          <w:tcPr>
            <w:tcW w:w="7218"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left"/>
              <w:rPr>
                <w:b/>
                <w:bCs/>
              </w:rPr>
            </w:pPr>
            <w:proofErr w:type="spellStart"/>
            <w:r w:rsidRPr="007F3363">
              <w:rPr>
                <w:rFonts w:ascii="Cambria" w:eastAsia="Times New Roman" w:hAnsi="Cambria" w:cs="Cambria"/>
                <w:b/>
                <w:bCs/>
                <w:lang w:eastAsia="en-US"/>
              </w:rPr>
              <w:t>ETF's</w:t>
            </w:r>
            <w:proofErr w:type="spellEnd"/>
            <w:r w:rsidRPr="007F3363">
              <w:rPr>
                <w:rFonts w:ascii="Cambria" w:eastAsia="Times New Roman" w:hAnsi="Cambria" w:cs="Cambria"/>
                <w:b/>
                <w:bCs/>
                <w:lang w:eastAsia="en-US"/>
              </w:rPr>
              <w:t xml:space="preserve"> de Índice de Renda Fixa - Art. 7°, IV, "b"</w:t>
            </w:r>
          </w:p>
        </w:tc>
        <w:tc>
          <w:tcPr>
            <w:tcW w:w="2861"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40%</w:t>
            </w:r>
          </w:p>
        </w:tc>
      </w:tr>
      <w:tr w:rsidR="00CE3812" w:rsidRPr="007F3363" w:rsidTr="00075B8E">
        <w:trPr>
          <w:trHeight w:val="300"/>
        </w:trPr>
        <w:tc>
          <w:tcPr>
            <w:tcW w:w="7218"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left"/>
              <w:rPr>
                <w:b/>
                <w:bCs/>
              </w:rPr>
            </w:pPr>
            <w:r w:rsidRPr="007F3363">
              <w:rPr>
                <w:rFonts w:ascii="Cambria" w:eastAsia="Times New Roman" w:hAnsi="Cambria" w:cs="Cambria"/>
                <w:b/>
                <w:bCs/>
                <w:lang w:eastAsia="en-US"/>
              </w:rPr>
              <w:t>Letras Imobiliárias Garantidas - Art. 7°, V, "b"</w:t>
            </w:r>
          </w:p>
        </w:tc>
        <w:tc>
          <w:tcPr>
            <w:tcW w:w="2861"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20%</w:t>
            </w:r>
          </w:p>
        </w:tc>
      </w:tr>
      <w:tr w:rsidR="00CE3812" w:rsidRPr="007F3363" w:rsidTr="00075B8E">
        <w:trPr>
          <w:trHeight w:val="300"/>
        </w:trPr>
        <w:tc>
          <w:tcPr>
            <w:tcW w:w="7218"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left"/>
              <w:rPr>
                <w:b/>
                <w:bCs/>
              </w:rPr>
            </w:pPr>
            <w:r w:rsidRPr="007F3363">
              <w:rPr>
                <w:b/>
                <w:bCs/>
              </w:rPr>
              <w:t xml:space="preserve">Certificado de Depósito Bancário (CDB) - </w:t>
            </w:r>
            <w:r w:rsidRPr="007F3363">
              <w:rPr>
                <w:rFonts w:ascii="Cambria" w:eastAsia="Times New Roman" w:hAnsi="Cambria" w:cs="Cambria"/>
                <w:b/>
                <w:bCs/>
                <w:lang w:eastAsia="en-US"/>
              </w:rPr>
              <w:t>Art. 7°, VI, "a"</w:t>
            </w:r>
          </w:p>
        </w:tc>
        <w:tc>
          <w:tcPr>
            <w:tcW w:w="2861"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15%</w:t>
            </w:r>
          </w:p>
        </w:tc>
      </w:tr>
      <w:tr w:rsidR="00CE3812" w:rsidRPr="007F3363" w:rsidTr="00075B8E">
        <w:trPr>
          <w:trHeight w:val="300"/>
        </w:trPr>
        <w:tc>
          <w:tcPr>
            <w:tcW w:w="7218"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left"/>
              <w:rPr>
                <w:rFonts w:ascii="Cambria" w:eastAsia="Times New Roman" w:hAnsi="Cambria" w:cs="Cambria"/>
                <w:lang w:eastAsia="en-US"/>
              </w:rPr>
            </w:pPr>
            <w:r w:rsidRPr="007F3363">
              <w:rPr>
                <w:rFonts w:ascii="Cambria" w:eastAsia="Times New Roman" w:hAnsi="Cambria" w:cs="Cambria"/>
                <w:b/>
                <w:bCs/>
                <w:lang w:eastAsia="en-US"/>
              </w:rPr>
              <w:t>Poupança - Art. 7ᵒ, VI, "b"</w:t>
            </w:r>
          </w:p>
        </w:tc>
        <w:tc>
          <w:tcPr>
            <w:tcW w:w="2861"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15%</w:t>
            </w:r>
          </w:p>
        </w:tc>
      </w:tr>
      <w:tr w:rsidR="00CE3812" w:rsidRPr="007F3363" w:rsidTr="00075B8E">
        <w:trPr>
          <w:trHeight w:val="300"/>
        </w:trPr>
        <w:tc>
          <w:tcPr>
            <w:tcW w:w="7218"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left"/>
              <w:rPr>
                <w:b/>
                <w:bCs/>
              </w:rPr>
            </w:pPr>
            <w:r w:rsidRPr="007F3363">
              <w:rPr>
                <w:rFonts w:ascii="Cambria" w:eastAsia="Times New Roman" w:hAnsi="Cambria" w:cs="Cambria"/>
                <w:b/>
                <w:bCs/>
                <w:lang w:eastAsia="en-US"/>
              </w:rPr>
              <w:t>Cotas Sênior de Fundos de Direito Creditório - Art. 7°, VII, "a"</w:t>
            </w:r>
          </w:p>
        </w:tc>
        <w:tc>
          <w:tcPr>
            <w:tcW w:w="2861"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5%</w:t>
            </w:r>
          </w:p>
        </w:tc>
      </w:tr>
      <w:tr w:rsidR="00CE3812" w:rsidRPr="007F3363" w:rsidTr="00075B8E">
        <w:trPr>
          <w:trHeight w:val="300"/>
        </w:trPr>
        <w:tc>
          <w:tcPr>
            <w:tcW w:w="7218"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left"/>
              <w:rPr>
                <w:rFonts w:ascii="Cambria" w:eastAsia="Times New Roman" w:hAnsi="Cambria" w:cs="Cambria"/>
                <w:lang w:eastAsia="en-US"/>
              </w:rPr>
            </w:pPr>
            <w:r w:rsidRPr="007F3363">
              <w:rPr>
                <w:rFonts w:ascii="Cambria" w:eastAsia="Times New Roman" w:hAnsi="Cambria" w:cs="Cambria"/>
                <w:b/>
                <w:bCs/>
                <w:lang w:eastAsia="en-US"/>
              </w:rPr>
              <w:t>FI Renda Fixa Crédito Privado - Art. 7°, VII, "b"</w:t>
            </w:r>
          </w:p>
        </w:tc>
        <w:tc>
          <w:tcPr>
            <w:tcW w:w="2861"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5%</w:t>
            </w:r>
          </w:p>
        </w:tc>
      </w:tr>
    </w:tbl>
    <w:p w:rsidR="00CE3812" w:rsidRPr="007F3363" w:rsidRDefault="00CE3812" w:rsidP="00CE3812">
      <w:pPr>
        <w:widowControl w:val="0"/>
        <w:spacing w:after="240"/>
        <w:jc w:val="center"/>
        <w:rPr>
          <w:rFonts w:asciiTheme="minorHAnsi" w:hAnsiTheme="minorHAnsi" w:cs="Times"/>
          <w:lang w:eastAsia="en-US"/>
        </w:rPr>
      </w:pPr>
    </w:p>
    <w:p w:rsidR="00CE3812" w:rsidRPr="007F3363" w:rsidRDefault="00CE3812" w:rsidP="00CE3812">
      <w:pPr>
        <w:ind w:firstLine="720"/>
        <w:rPr>
          <w:rFonts w:asciiTheme="minorHAnsi" w:hAnsiTheme="minorHAnsi"/>
          <w:lang w:eastAsia="en-US"/>
        </w:rPr>
      </w:pPr>
      <w:r w:rsidRPr="007F3363">
        <w:rPr>
          <w:rFonts w:asciiTheme="minorHAnsi" w:hAnsiTheme="minorHAnsi"/>
          <w:lang w:eastAsia="en-US"/>
        </w:rPr>
        <w:t xml:space="preserve">Tanto para o segmento de renda fixa, quando para o segmento de renda variável, é admitida a aplicação em fundos de investimento em cotas de fundos de investimento, desde que seja possível identificar e demonstrar que os respectivos fundos mantenham as composições, limites e garantias exigidas para os fundos de investimento que trata a legislação. </w:t>
      </w:r>
    </w:p>
    <w:p w:rsidR="00CE3812" w:rsidRPr="007F3363" w:rsidRDefault="00CE3812" w:rsidP="00CE3812">
      <w:pPr>
        <w:pStyle w:val="Heading31"/>
        <w:rPr>
          <w:rFonts w:asciiTheme="minorHAnsi" w:hAnsiTheme="minorHAnsi"/>
          <w:color w:val="00000A"/>
          <w:lang w:eastAsia="en-US"/>
        </w:rPr>
      </w:pPr>
      <w:bookmarkStart w:id="20" w:name="_Toc495346471"/>
      <w:r w:rsidRPr="007F3363">
        <w:rPr>
          <w:rFonts w:asciiTheme="minorHAnsi" w:hAnsiTheme="minorHAnsi"/>
          <w:color w:val="00000A"/>
          <w:lang w:eastAsia="en-US"/>
        </w:rPr>
        <w:t>Segmento de Renda Variável</w:t>
      </w:r>
      <w:bookmarkEnd w:id="20"/>
      <w:r w:rsidRPr="007F3363">
        <w:rPr>
          <w:rFonts w:asciiTheme="minorHAnsi" w:hAnsiTheme="minorHAnsi"/>
          <w:color w:val="00000A"/>
          <w:lang w:eastAsia="en-US"/>
        </w:rPr>
        <w:t xml:space="preserve"> </w:t>
      </w:r>
    </w:p>
    <w:p w:rsidR="00CE3812" w:rsidRPr="007F3363" w:rsidRDefault="00CE3812" w:rsidP="00CE3812">
      <w:pPr>
        <w:ind w:firstLine="720"/>
        <w:rPr>
          <w:rFonts w:asciiTheme="minorHAnsi" w:hAnsiTheme="minorHAnsi"/>
          <w:lang w:eastAsia="en-US"/>
        </w:rPr>
      </w:pPr>
      <w:r w:rsidRPr="007F3363">
        <w:rPr>
          <w:rFonts w:asciiTheme="minorHAnsi" w:hAnsiTheme="minorHAnsi"/>
          <w:lang w:eastAsia="en-US"/>
        </w:rPr>
        <w:t xml:space="preserve">Neste segmento, os recursos do Fundo poderão ser aplicados nos seguintes fundos de investimento: </w:t>
      </w:r>
    </w:p>
    <w:p w:rsidR="00CE3812" w:rsidRPr="007F3363" w:rsidRDefault="00CE3812" w:rsidP="00CE3812">
      <w:pPr>
        <w:spacing w:after="0"/>
        <w:jc w:val="left"/>
        <w:rPr>
          <w:rFonts w:asciiTheme="minorHAnsi" w:hAnsiTheme="minorHAnsi"/>
          <w:lang w:eastAsia="en-US"/>
        </w:rPr>
      </w:pPr>
    </w:p>
    <w:tbl>
      <w:tblPr>
        <w:tblW w:w="10155" w:type="dxa"/>
        <w:tblInd w:w="93" w:type="dxa"/>
        <w:tblBorders>
          <w:top w:val="single" w:sz="4" w:space="0" w:color="00000A"/>
        </w:tblBorders>
        <w:tblLook w:val="04A0" w:firstRow="1" w:lastRow="0" w:firstColumn="1" w:lastColumn="0" w:noHBand="0" w:noVBand="1"/>
      </w:tblPr>
      <w:tblGrid>
        <w:gridCol w:w="6629"/>
        <w:gridCol w:w="3526"/>
      </w:tblGrid>
      <w:tr w:rsidR="00CE3812" w:rsidRPr="007F3363" w:rsidTr="00075B8E">
        <w:trPr>
          <w:trHeight w:val="300"/>
        </w:trPr>
        <w:tc>
          <w:tcPr>
            <w:tcW w:w="10154" w:type="dxa"/>
            <w:gridSpan w:val="2"/>
            <w:tcBorders>
              <w:top w:val="single" w:sz="4" w:space="0" w:color="00000A"/>
            </w:tcBorders>
            <w:shd w:val="clear" w:color="000000" w:fill="F2F2F2"/>
            <w:vAlign w:val="center"/>
          </w:tcPr>
          <w:p w:rsidR="00CE3812" w:rsidRPr="007F3363" w:rsidRDefault="00CE3812" w:rsidP="00075B8E">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ALOCAÇÃO DE RECURSOS - RESOLUÇÃO 3.922/2010</w:t>
            </w:r>
          </w:p>
        </w:tc>
      </w:tr>
      <w:tr w:rsidR="00CE3812" w:rsidRPr="007F3363" w:rsidTr="00075B8E">
        <w:trPr>
          <w:trHeight w:val="300"/>
        </w:trPr>
        <w:tc>
          <w:tcPr>
            <w:tcW w:w="6628" w:type="dxa"/>
            <w:tcBorders>
              <w:top w:val="single" w:sz="4" w:space="0" w:color="00000A"/>
              <w:bottom w:val="single" w:sz="4" w:space="0" w:color="00000A"/>
            </w:tcBorders>
            <w:shd w:val="clear" w:color="000000" w:fill="F2F2F2"/>
            <w:vAlign w:val="bottom"/>
          </w:tcPr>
          <w:p w:rsidR="00CE3812" w:rsidRPr="007F3363" w:rsidRDefault="00CE3812" w:rsidP="00075B8E">
            <w:pPr>
              <w:spacing w:after="0"/>
              <w:jc w:val="left"/>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lastRenderedPageBreak/>
              <w:t>Renda Variável - Art. 8°</w:t>
            </w:r>
          </w:p>
        </w:tc>
        <w:tc>
          <w:tcPr>
            <w:tcW w:w="3526" w:type="dxa"/>
            <w:tcBorders>
              <w:top w:val="single" w:sz="4" w:space="0" w:color="00000A"/>
              <w:bottom w:val="single" w:sz="4" w:space="0" w:color="00000A"/>
            </w:tcBorders>
            <w:shd w:val="clear" w:color="000000" w:fill="F2F2F2"/>
            <w:vAlign w:val="bottom"/>
          </w:tcPr>
          <w:p w:rsidR="00CE3812" w:rsidRPr="007F3363" w:rsidRDefault="00CE3812" w:rsidP="00075B8E">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Alocação Limite</w:t>
            </w:r>
          </w:p>
        </w:tc>
      </w:tr>
      <w:tr w:rsidR="00CE3812" w:rsidRPr="007F3363" w:rsidTr="00075B8E">
        <w:trPr>
          <w:trHeight w:val="300"/>
        </w:trPr>
        <w:tc>
          <w:tcPr>
            <w:tcW w:w="6628"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left"/>
              <w:rPr>
                <w:b/>
                <w:bCs/>
              </w:rPr>
            </w:pPr>
            <w:r w:rsidRPr="007F3363">
              <w:rPr>
                <w:rFonts w:ascii="Cambria" w:eastAsia="Times New Roman" w:hAnsi="Cambria" w:cs="Cambria"/>
                <w:b/>
                <w:bCs/>
                <w:lang w:eastAsia="en-US"/>
              </w:rPr>
              <w:t>FI Ações Que Acompanham Índices Divulgado por Bolsa de Valores, com no mínimo 50 ações - Art. 8°, I, "a"</w:t>
            </w:r>
          </w:p>
        </w:tc>
        <w:tc>
          <w:tcPr>
            <w:tcW w:w="3526"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30%</w:t>
            </w:r>
          </w:p>
        </w:tc>
      </w:tr>
      <w:tr w:rsidR="00CE3812" w:rsidRPr="007F3363" w:rsidTr="00075B8E">
        <w:trPr>
          <w:trHeight w:val="300"/>
        </w:trPr>
        <w:tc>
          <w:tcPr>
            <w:tcW w:w="6628"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left"/>
              <w:rPr>
                <w:b/>
                <w:bCs/>
              </w:rPr>
            </w:pPr>
            <w:proofErr w:type="spellStart"/>
            <w:r w:rsidRPr="007F3363">
              <w:rPr>
                <w:rFonts w:ascii="Cambria" w:eastAsia="Times New Roman" w:hAnsi="Cambria" w:cs="Cambria"/>
                <w:b/>
                <w:bCs/>
                <w:lang w:eastAsia="en-US"/>
              </w:rPr>
              <w:t>ETF's</w:t>
            </w:r>
            <w:proofErr w:type="spellEnd"/>
            <w:r w:rsidRPr="007F3363">
              <w:rPr>
                <w:rFonts w:ascii="Cambria" w:eastAsia="Times New Roman" w:hAnsi="Cambria" w:cs="Cambria"/>
                <w:b/>
                <w:bCs/>
                <w:lang w:eastAsia="en-US"/>
              </w:rPr>
              <w:t xml:space="preserve"> que Acompanham Índices Divulgado por Bolsa de Valores, com no mínimo 50 ações - Art. 8°, I, "b"</w:t>
            </w:r>
          </w:p>
        </w:tc>
        <w:tc>
          <w:tcPr>
            <w:tcW w:w="3526"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30%</w:t>
            </w:r>
          </w:p>
        </w:tc>
      </w:tr>
      <w:tr w:rsidR="00CE3812" w:rsidRPr="007F3363" w:rsidTr="00075B8E">
        <w:trPr>
          <w:trHeight w:val="300"/>
        </w:trPr>
        <w:tc>
          <w:tcPr>
            <w:tcW w:w="6628"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left"/>
              <w:rPr>
                <w:b/>
                <w:bCs/>
              </w:rPr>
            </w:pPr>
            <w:r w:rsidRPr="007F3363">
              <w:rPr>
                <w:rFonts w:ascii="Cambria" w:eastAsia="Times New Roman" w:hAnsi="Cambria" w:cs="Cambria"/>
                <w:b/>
                <w:bCs/>
                <w:lang w:eastAsia="en-US"/>
              </w:rPr>
              <w:t>FI em Ações - Aberto - Art. 8°, II, "a"</w:t>
            </w:r>
          </w:p>
        </w:tc>
        <w:tc>
          <w:tcPr>
            <w:tcW w:w="3526"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20%</w:t>
            </w:r>
          </w:p>
        </w:tc>
      </w:tr>
      <w:tr w:rsidR="00CE3812" w:rsidRPr="007F3363" w:rsidTr="00075B8E">
        <w:trPr>
          <w:trHeight w:val="300"/>
        </w:trPr>
        <w:tc>
          <w:tcPr>
            <w:tcW w:w="6628"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left"/>
              <w:rPr>
                <w:rFonts w:ascii="Cambria" w:eastAsia="Times New Roman" w:hAnsi="Cambria" w:cs="Cambria"/>
                <w:lang w:eastAsia="en-US"/>
              </w:rPr>
            </w:pPr>
            <w:proofErr w:type="spellStart"/>
            <w:r w:rsidRPr="007F3363">
              <w:rPr>
                <w:rFonts w:ascii="Cambria" w:eastAsia="Times New Roman" w:hAnsi="Cambria" w:cs="Cambria"/>
                <w:b/>
                <w:bCs/>
                <w:lang w:eastAsia="en-US"/>
              </w:rPr>
              <w:t>ETF's</w:t>
            </w:r>
            <w:proofErr w:type="spellEnd"/>
            <w:r w:rsidRPr="007F3363">
              <w:rPr>
                <w:rFonts w:ascii="Cambria" w:eastAsia="Times New Roman" w:hAnsi="Cambria" w:cs="Cambria"/>
                <w:b/>
                <w:bCs/>
                <w:lang w:eastAsia="en-US"/>
              </w:rPr>
              <w:t xml:space="preserve"> em Ações que visem refletir variações de Renda Variável- Aberto - Art. 8°, II, "b"</w:t>
            </w:r>
          </w:p>
        </w:tc>
        <w:tc>
          <w:tcPr>
            <w:tcW w:w="3526"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20%</w:t>
            </w:r>
          </w:p>
        </w:tc>
      </w:tr>
      <w:tr w:rsidR="00CE3812" w:rsidRPr="007F3363" w:rsidTr="00075B8E">
        <w:trPr>
          <w:trHeight w:val="300"/>
        </w:trPr>
        <w:tc>
          <w:tcPr>
            <w:tcW w:w="6628"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left"/>
              <w:rPr>
                <w:b/>
                <w:bCs/>
              </w:rPr>
            </w:pPr>
            <w:r w:rsidRPr="007F3363">
              <w:rPr>
                <w:rFonts w:ascii="Cambria" w:eastAsia="Times New Roman" w:hAnsi="Cambria" w:cs="Cambria"/>
                <w:b/>
                <w:bCs/>
                <w:lang w:eastAsia="en-US"/>
              </w:rPr>
              <w:t>FI Multimercado - Aberto - Art. 8°, III</w:t>
            </w:r>
          </w:p>
        </w:tc>
        <w:tc>
          <w:tcPr>
            <w:tcW w:w="3526"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10%</w:t>
            </w:r>
          </w:p>
        </w:tc>
      </w:tr>
      <w:tr w:rsidR="00CE3812" w:rsidRPr="007F3363" w:rsidTr="00075B8E">
        <w:trPr>
          <w:trHeight w:val="300"/>
        </w:trPr>
        <w:tc>
          <w:tcPr>
            <w:tcW w:w="6628"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left"/>
              <w:rPr>
                <w:b/>
                <w:bCs/>
              </w:rPr>
            </w:pPr>
            <w:r w:rsidRPr="007F3363">
              <w:rPr>
                <w:rFonts w:ascii="Cambria" w:eastAsia="Times New Roman" w:hAnsi="Cambria" w:cs="Cambria"/>
                <w:b/>
                <w:bCs/>
                <w:lang w:eastAsia="en-US"/>
              </w:rPr>
              <w:t>FI em Participações - Fechado - Art. 8°, IV, "a"</w:t>
            </w:r>
          </w:p>
        </w:tc>
        <w:tc>
          <w:tcPr>
            <w:tcW w:w="3526"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5%</w:t>
            </w:r>
          </w:p>
        </w:tc>
      </w:tr>
      <w:tr w:rsidR="00CE3812" w:rsidRPr="007F3363" w:rsidTr="00075B8E">
        <w:trPr>
          <w:trHeight w:val="300"/>
        </w:trPr>
        <w:tc>
          <w:tcPr>
            <w:tcW w:w="6628"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left"/>
              <w:rPr>
                <w:rFonts w:ascii="Cambria" w:eastAsia="Times New Roman" w:hAnsi="Cambria" w:cs="Cambria"/>
                <w:lang w:eastAsia="en-US"/>
              </w:rPr>
            </w:pPr>
            <w:r w:rsidRPr="007F3363">
              <w:rPr>
                <w:rFonts w:ascii="Cambria" w:eastAsia="Times New Roman" w:hAnsi="Cambria" w:cs="Cambria"/>
                <w:b/>
                <w:bCs/>
                <w:lang w:eastAsia="en-US"/>
              </w:rPr>
              <w:t>FII Imobiliário - Negociação em Bolsa - Art. 8ᵒ, IV, "b"</w:t>
            </w:r>
          </w:p>
        </w:tc>
        <w:tc>
          <w:tcPr>
            <w:tcW w:w="3526" w:type="dxa"/>
            <w:tcBorders>
              <w:top w:val="single"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5%</w:t>
            </w:r>
          </w:p>
        </w:tc>
      </w:tr>
    </w:tbl>
    <w:p w:rsidR="00CE3812" w:rsidRPr="007F3363" w:rsidRDefault="00CE3812" w:rsidP="00CE3812">
      <w:pPr>
        <w:jc w:val="center"/>
        <w:rPr>
          <w:rFonts w:asciiTheme="minorHAnsi" w:hAnsiTheme="minorHAnsi"/>
        </w:rPr>
      </w:pPr>
    </w:p>
    <w:p w:rsidR="00CE3812" w:rsidRPr="007F3363" w:rsidRDefault="00CE3812" w:rsidP="00CE3812">
      <w:pPr>
        <w:pStyle w:val="Heading31"/>
        <w:tabs>
          <w:tab w:val="left" w:pos="0"/>
        </w:tabs>
        <w:suppressAutoHyphens/>
        <w:ind w:left="720" w:hanging="720"/>
      </w:pPr>
      <w:r w:rsidRPr="007F3363">
        <w:rPr>
          <w:rFonts w:ascii="Cambria" w:hAnsi="Cambria" w:cs="Cambria"/>
          <w:color w:val="00000A"/>
          <w:lang w:eastAsia="en-US"/>
        </w:rPr>
        <w:t xml:space="preserve">Segmento Imóveis </w:t>
      </w:r>
    </w:p>
    <w:p w:rsidR="00CE3812" w:rsidRPr="007F3363" w:rsidRDefault="00CE3812" w:rsidP="00CE3812">
      <w:pPr>
        <w:ind w:firstLine="720"/>
      </w:pPr>
      <w:r w:rsidRPr="007F3363">
        <w:rPr>
          <w:rFonts w:ascii="Cambria" w:hAnsi="Cambria" w:cs="Cambria"/>
          <w:lang w:eastAsia="en-US"/>
        </w:rPr>
        <w:t xml:space="preserve">As aplicações no segmento de imóveis serão efetuadas exclusivamente com os imóveis vinculados por lei ao RPPS, que poderão ser utilizados para a aquisição de cotas de fundos de investimento imobiliário, cujas cotas sejam negociadas em ambiente de bolsa de valores. </w:t>
      </w:r>
    </w:p>
    <w:p w:rsidR="00CE3812" w:rsidRPr="007F3363" w:rsidRDefault="00CE3812" w:rsidP="00CE3812">
      <w:pPr>
        <w:pStyle w:val="Heading31"/>
        <w:tabs>
          <w:tab w:val="left" w:pos="0"/>
        </w:tabs>
        <w:suppressAutoHyphens/>
        <w:ind w:left="720" w:hanging="720"/>
      </w:pPr>
      <w:bookmarkStart w:id="21" w:name="__RefHeading___Toc52_4251564454"/>
      <w:bookmarkEnd w:id="21"/>
      <w:r w:rsidRPr="007F3363">
        <w:rPr>
          <w:rFonts w:ascii="Cambria" w:hAnsi="Cambria" w:cs="Cambria"/>
          <w:color w:val="00000A"/>
          <w:lang w:eastAsia="en-US"/>
        </w:rPr>
        <w:t>Limites Adicionais – Resolução 3.922/2010</w:t>
      </w:r>
    </w:p>
    <w:p w:rsidR="00CE3812" w:rsidRPr="007F3363" w:rsidRDefault="00CE3812" w:rsidP="00CE3812">
      <w:pPr>
        <w:pStyle w:val="PargrafodaLista1"/>
        <w:numPr>
          <w:ilvl w:val="0"/>
          <w:numId w:val="31"/>
        </w:numPr>
        <w:ind w:left="0" w:firstLine="709"/>
      </w:pPr>
      <w:r w:rsidRPr="007F3363">
        <w:rPr>
          <w:rFonts w:ascii="Cambria" w:hAnsi="Cambria" w:cs="Cambria"/>
          <w:lang w:eastAsia="en-US"/>
        </w:rPr>
        <w:t>As aplicações dos recursos referidas no art. 7o, inciso V e VI, ficam igualmente condicionadas a que a instituição financeira não tenha o respectivo controle societário detido, direta ou indiretamente, por Estado (Art. 11).</w:t>
      </w:r>
    </w:p>
    <w:p w:rsidR="00CE3812" w:rsidRPr="007F3363" w:rsidRDefault="00CE3812" w:rsidP="00CE3812">
      <w:pPr>
        <w:pStyle w:val="PargrafodaLista1"/>
        <w:numPr>
          <w:ilvl w:val="0"/>
          <w:numId w:val="31"/>
        </w:numPr>
        <w:ind w:left="0" w:firstLine="709"/>
      </w:pPr>
      <w:r w:rsidRPr="007F3363">
        <w:rPr>
          <w:rFonts w:ascii="Cambria" w:hAnsi="Cambria" w:cs="Cambria"/>
          <w:lang w:eastAsia="en-US"/>
        </w:rPr>
        <w:t>As aplicações dos regimes próprios de previdência social em fundos de investimento em cotas de fundos de investimento serão admitidas desde que seja possível identificar e demonstrar que os respectivos fundos mantenham as composições, limites e garantias exigidas para os fundos de investimento (Art. 12).</w:t>
      </w:r>
    </w:p>
    <w:p w:rsidR="00CE3812" w:rsidRPr="007F3363" w:rsidRDefault="00CE3812" w:rsidP="00CE3812">
      <w:pPr>
        <w:pStyle w:val="PargrafodaLista1"/>
        <w:numPr>
          <w:ilvl w:val="0"/>
          <w:numId w:val="31"/>
        </w:numPr>
        <w:ind w:left="0" w:firstLine="709"/>
      </w:pPr>
      <w:r w:rsidRPr="007F3363">
        <w:rPr>
          <w:rFonts w:ascii="Cambria" w:hAnsi="Cambria" w:cs="Cambria"/>
          <w:lang w:eastAsia="en-US"/>
        </w:rPr>
        <w:t>As aplicações em cotas de um mesmo fundo de investimento, fundo de investimento em cotas de fundos de investimento ou fundo de índice, a que se referem o art. 7o, incisos III e IV, e art. 8o, inciso I, não podem exceder a 20% (vinte por cento) das aplicações dos recursos do regime próprio de previdência social (Art. 13).</w:t>
      </w:r>
    </w:p>
    <w:p w:rsidR="00CE3812" w:rsidRPr="007F3363" w:rsidRDefault="00CE3812" w:rsidP="00CE3812">
      <w:pPr>
        <w:pStyle w:val="PargrafodaLista1"/>
        <w:numPr>
          <w:ilvl w:val="0"/>
          <w:numId w:val="31"/>
        </w:numPr>
        <w:ind w:left="0" w:firstLine="709"/>
      </w:pPr>
      <w:r w:rsidRPr="007F3363">
        <w:rPr>
          <w:rFonts w:ascii="Cambria" w:hAnsi="Cambria" w:cs="Cambria"/>
          <w:lang w:eastAsia="en-US"/>
        </w:rPr>
        <w:t>O total das aplicações dos recursos do regime próprio de previdência social em um mesmo fundo de investimento deverá representar, no máximo, 15% (quinze por cento) do patrimônio líquido do fundo (Art. 14).</w:t>
      </w:r>
    </w:p>
    <w:p w:rsidR="00CE3812" w:rsidRPr="007F3363" w:rsidRDefault="00CE3812" w:rsidP="00CE3812">
      <w:pPr>
        <w:pStyle w:val="PargrafodaLista1"/>
        <w:numPr>
          <w:ilvl w:val="0"/>
          <w:numId w:val="31"/>
        </w:numPr>
        <w:ind w:left="0" w:firstLine="709"/>
      </w:pPr>
      <w:r w:rsidRPr="007F3363">
        <w:rPr>
          <w:rFonts w:ascii="Cambria" w:hAnsi="Cambria" w:cs="Cambria"/>
          <w:lang w:eastAsia="en-US"/>
        </w:rPr>
        <w:lastRenderedPageBreak/>
        <w:t xml:space="preserve">No caso dos investimentos realizados em produtos do Art. 7ᵒ, inc. VII (FIDC, Crédito Privado, Debêntures) ou art. 8ᵒ inc. III e IV (fundos Multimercado, FIP e FII). (Art. 14 </w:t>
      </w:r>
      <w:r w:rsidRPr="007F3363">
        <w:t>§ 1ᵒ)</w:t>
      </w:r>
    </w:p>
    <w:p w:rsidR="001E08B9" w:rsidRPr="007F3363" w:rsidRDefault="00CE3812" w:rsidP="00CE3812">
      <w:pPr>
        <w:ind w:firstLine="720"/>
        <w:rPr>
          <w:rFonts w:asciiTheme="minorHAnsi" w:hAnsiTheme="minorHAnsi" w:cs="Times"/>
          <w:lang w:eastAsia="en-US"/>
        </w:rPr>
      </w:pPr>
      <w:r w:rsidRPr="007F3363">
        <w:rPr>
          <w:rFonts w:asciiTheme="minorHAnsi" w:hAnsiTheme="minorHAnsi"/>
        </w:rPr>
        <w:t>O total das aplicações dos recursos do RPPS em fundos de investimento e carteiras administradas não pode exceder a 5% (cinco porcento) do volume total de recursos de terceiros gerido por um mesmo gestor ou por gestoras ligadas ao seu respectivo grupo econômico.</w:t>
      </w:r>
    </w:p>
    <w:p w:rsidR="00865D64" w:rsidRPr="007F3363" w:rsidRDefault="00865D64" w:rsidP="00CD207C">
      <w:pPr>
        <w:pStyle w:val="Ttulo3"/>
        <w:rPr>
          <w:rFonts w:asciiTheme="minorHAnsi" w:hAnsiTheme="minorHAnsi"/>
          <w:color w:val="auto"/>
        </w:rPr>
      </w:pPr>
      <w:bookmarkStart w:id="22" w:name="_Toc494961916"/>
      <w:r w:rsidRPr="007F3363">
        <w:rPr>
          <w:rFonts w:asciiTheme="minorHAnsi" w:hAnsiTheme="minorHAnsi"/>
          <w:color w:val="auto"/>
        </w:rPr>
        <w:t>Operações com Derivativos</w:t>
      </w:r>
      <w:bookmarkEnd w:id="22"/>
    </w:p>
    <w:p w:rsidR="00865D64" w:rsidRPr="007F3363" w:rsidRDefault="00865D64" w:rsidP="00CD207C">
      <w:pPr>
        <w:ind w:firstLine="720"/>
        <w:rPr>
          <w:rFonts w:asciiTheme="minorHAnsi" w:hAnsiTheme="minorHAnsi"/>
          <w:lang w:eastAsia="en-US"/>
        </w:rPr>
      </w:pPr>
      <w:r w:rsidRPr="007F3363">
        <w:rPr>
          <w:rFonts w:asciiTheme="minorHAnsi" w:hAnsiTheme="minorHAnsi"/>
          <w:lang w:eastAsia="en-US"/>
        </w:rPr>
        <w:t xml:space="preserve">De acordo com a Resolução 3.922/2010 do CMN, a única classe de ativos passível de aquisição direta pelos RPPS é a representada pelos títulos públicos de emissão do Tesouro Nacional, registrados no Sistema Especial de Liquidação e Custódia (SELIC). Além dos depósitos de poupança em instituições financeiras de baixo risco de crédito, a alternativa possível de investimento dos RPPS é somente através de fundos de investimento de diferentes classes de ativos, rendimentos e riscos. </w:t>
      </w:r>
    </w:p>
    <w:p w:rsidR="00865D64" w:rsidRPr="007F3363" w:rsidRDefault="00865D64" w:rsidP="00CD207C">
      <w:pPr>
        <w:ind w:firstLine="720"/>
        <w:rPr>
          <w:rFonts w:asciiTheme="minorHAnsi" w:hAnsiTheme="minorHAnsi" w:cs="Times"/>
          <w:lang w:eastAsia="en-US"/>
        </w:rPr>
      </w:pPr>
      <w:r w:rsidRPr="007F3363">
        <w:rPr>
          <w:rFonts w:asciiTheme="minorHAnsi" w:hAnsiTheme="minorHAnsi"/>
          <w:lang w:eastAsia="en-US"/>
        </w:rPr>
        <w:t xml:space="preserve">Além disso, o artigo 23 da Resolução 3.922/2010, veda aos RPPS </w:t>
      </w:r>
      <w:r w:rsidRPr="007F3363">
        <w:rPr>
          <w:rFonts w:asciiTheme="minorHAnsi" w:hAnsiTheme="minorHAnsi"/>
        </w:rPr>
        <w:t>aplicar recursos na aquisição de cotas de fundo de investimento cuja atuação em mercados de derivativos gere exposição superior a uma vez o respectivo patrimônio líquido.</w:t>
      </w:r>
    </w:p>
    <w:p w:rsidR="00865D64" w:rsidRPr="007F3363" w:rsidRDefault="00865D64" w:rsidP="00CD207C">
      <w:pPr>
        <w:pStyle w:val="Ttulo3"/>
        <w:rPr>
          <w:rFonts w:asciiTheme="minorHAnsi" w:hAnsiTheme="minorHAnsi"/>
          <w:color w:val="auto"/>
          <w:lang w:eastAsia="en-US"/>
        </w:rPr>
      </w:pPr>
      <w:bookmarkStart w:id="23" w:name="_Toc494961917"/>
      <w:r w:rsidRPr="007F3363">
        <w:rPr>
          <w:rFonts w:asciiTheme="minorHAnsi" w:hAnsiTheme="minorHAnsi"/>
          <w:color w:val="auto"/>
          <w:lang w:eastAsia="en-US"/>
        </w:rPr>
        <w:t>Empréstimos de Títulos e Valores Mobiliários</w:t>
      </w:r>
      <w:bookmarkEnd w:id="23"/>
    </w:p>
    <w:p w:rsidR="007A32BE" w:rsidRPr="007F3363" w:rsidRDefault="004757E3" w:rsidP="00CD207C">
      <w:pPr>
        <w:ind w:firstLine="720"/>
        <w:rPr>
          <w:rFonts w:asciiTheme="minorHAnsi" w:hAnsiTheme="minorHAnsi"/>
        </w:rPr>
      </w:pPr>
      <w:r w:rsidRPr="007F3363">
        <w:rPr>
          <w:rFonts w:asciiTheme="minorHAnsi" w:hAnsiTheme="minorHAnsi"/>
        </w:rPr>
        <w:t xml:space="preserve">Consoante o Parecer do Ministério da Previdência Social número 052/2011, o </w:t>
      </w:r>
      <w:r w:rsidR="002A505C" w:rsidRPr="007F3363">
        <w:rPr>
          <w:rFonts w:asciiTheme="minorHAnsi" w:hAnsiTheme="minorHAnsi"/>
        </w:rPr>
        <w:t>Fundo</w:t>
      </w:r>
      <w:r w:rsidRPr="007F3363">
        <w:rPr>
          <w:rFonts w:asciiTheme="minorHAnsi" w:hAnsiTheme="minorHAnsi"/>
        </w:rPr>
        <w:t xml:space="preserve"> poderá emprestar/alugar cotas de fundos de índice, desde que esteja de acordo com o disposto na Instrução CVM n° 359, de 22 de janeiro de 2002.</w:t>
      </w:r>
    </w:p>
    <w:p w:rsidR="00252F88" w:rsidRPr="007F3363" w:rsidRDefault="00252F88" w:rsidP="00CD207C">
      <w:pPr>
        <w:pStyle w:val="Ttulo3"/>
        <w:rPr>
          <w:rFonts w:asciiTheme="minorHAnsi" w:hAnsiTheme="minorHAnsi"/>
          <w:color w:val="auto"/>
          <w:lang w:eastAsia="en-US"/>
        </w:rPr>
      </w:pPr>
      <w:r w:rsidRPr="007F3363">
        <w:rPr>
          <w:rFonts w:asciiTheme="minorHAnsi" w:hAnsiTheme="minorHAnsi"/>
          <w:color w:val="auto"/>
          <w:lang w:eastAsia="en-US"/>
        </w:rPr>
        <w:t> </w:t>
      </w:r>
      <w:bookmarkStart w:id="24" w:name="_Toc494961918"/>
      <w:r w:rsidR="00B26E95" w:rsidRPr="007F3363">
        <w:rPr>
          <w:rFonts w:asciiTheme="minorHAnsi" w:hAnsiTheme="minorHAnsi"/>
          <w:color w:val="auto"/>
          <w:lang w:eastAsia="en-US"/>
        </w:rPr>
        <w:t>Aplicações</w:t>
      </w:r>
      <w:r w:rsidR="00C67809" w:rsidRPr="007F3363">
        <w:rPr>
          <w:rFonts w:asciiTheme="minorHAnsi" w:hAnsiTheme="minorHAnsi"/>
          <w:color w:val="auto"/>
          <w:lang w:eastAsia="en-US"/>
        </w:rPr>
        <w:t xml:space="preserve"> em Bancos Públicos</w:t>
      </w:r>
      <w:bookmarkEnd w:id="24"/>
    </w:p>
    <w:p w:rsidR="00252F88" w:rsidRPr="007F3363" w:rsidRDefault="00252F88" w:rsidP="00CD207C">
      <w:pPr>
        <w:ind w:firstLine="720"/>
        <w:rPr>
          <w:rFonts w:asciiTheme="minorHAnsi" w:hAnsiTheme="minorHAnsi"/>
          <w:lang w:eastAsia="en-US"/>
        </w:rPr>
      </w:pPr>
      <w:r w:rsidRPr="007F3363">
        <w:rPr>
          <w:rFonts w:asciiTheme="minorHAnsi" w:hAnsiTheme="minorHAnsi"/>
          <w:lang w:eastAsia="en-US"/>
        </w:rPr>
        <w:t>Conforme</w:t>
      </w:r>
      <w:r w:rsidR="00C67809" w:rsidRPr="007F3363">
        <w:rPr>
          <w:rFonts w:asciiTheme="minorHAnsi" w:hAnsiTheme="minorHAnsi"/>
          <w:lang w:eastAsia="en-US"/>
        </w:rPr>
        <w:t xml:space="preserve"> Parecer númer</w:t>
      </w:r>
      <w:r w:rsidR="00C8416B" w:rsidRPr="007F3363">
        <w:rPr>
          <w:rFonts w:asciiTheme="minorHAnsi" w:hAnsiTheme="minorHAnsi"/>
          <w:lang w:eastAsia="en-US"/>
        </w:rPr>
        <w:t>o 017/2004</w:t>
      </w:r>
      <w:r w:rsidR="001156D1" w:rsidRPr="007F3363">
        <w:rPr>
          <w:rFonts w:asciiTheme="minorHAnsi" w:hAnsiTheme="minorHAnsi"/>
          <w:lang w:eastAsia="en-US"/>
        </w:rPr>
        <w:t xml:space="preserve"> e 34/2004</w:t>
      </w:r>
      <w:r w:rsidR="00C8416B" w:rsidRPr="007F3363">
        <w:rPr>
          <w:rFonts w:asciiTheme="minorHAnsi" w:hAnsiTheme="minorHAnsi"/>
          <w:lang w:eastAsia="en-US"/>
        </w:rPr>
        <w:t xml:space="preserve"> emitido pelo TCE-RS</w:t>
      </w:r>
      <w:r w:rsidR="00C67809" w:rsidRPr="007F3363">
        <w:rPr>
          <w:rFonts w:asciiTheme="minorHAnsi" w:hAnsiTheme="minorHAnsi"/>
          <w:lang w:eastAsia="en-US"/>
        </w:rPr>
        <w:t xml:space="preserve"> </w:t>
      </w:r>
      <w:r w:rsidR="00C8416B" w:rsidRPr="007F3363">
        <w:rPr>
          <w:rFonts w:asciiTheme="minorHAnsi" w:hAnsiTheme="minorHAnsi"/>
          <w:lang w:eastAsia="en-US"/>
        </w:rPr>
        <w:t>(</w:t>
      </w:r>
      <w:r w:rsidR="00C67809" w:rsidRPr="007F3363">
        <w:rPr>
          <w:rFonts w:asciiTheme="minorHAnsi" w:hAnsiTheme="minorHAnsi"/>
          <w:lang w:eastAsia="en-US"/>
        </w:rPr>
        <w:t xml:space="preserve">o qual examinou a </w:t>
      </w:r>
      <w:r w:rsidR="00B26E95" w:rsidRPr="007F3363">
        <w:rPr>
          <w:rFonts w:asciiTheme="minorHAnsi" w:hAnsiTheme="minorHAnsi"/>
          <w:lang w:eastAsia="en-US"/>
        </w:rPr>
        <w:t>possibilidade</w:t>
      </w:r>
      <w:r w:rsidR="00C67809" w:rsidRPr="007F3363">
        <w:rPr>
          <w:rFonts w:asciiTheme="minorHAnsi" w:hAnsiTheme="minorHAnsi"/>
          <w:lang w:eastAsia="en-US"/>
        </w:rPr>
        <w:t xml:space="preserve"> de depósito de disponibilidade de caixa de entes públicos referentes a recursos de finalidade previdenciária em Instituição Financeira </w:t>
      </w:r>
      <w:r w:rsidR="00B26E95" w:rsidRPr="007F3363">
        <w:rPr>
          <w:rFonts w:asciiTheme="minorHAnsi" w:hAnsiTheme="minorHAnsi"/>
          <w:lang w:eastAsia="en-US"/>
        </w:rPr>
        <w:t>não oficial</w:t>
      </w:r>
      <w:r w:rsidR="00C8416B" w:rsidRPr="007F3363">
        <w:rPr>
          <w:rFonts w:asciiTheme="minorHAnsi" w:hAnsiTheme="minorHAnsi"/>
          <w:lang w:eastAsia="en-US"/>
        </w:rPr>
        <w:t>)</w:t>
      </w:r>
      <w:r w:rsidR="00C67809" w:rsidRPr="007F3363">
        <w:rPr>
          <w:rFonts w:asciiTheme="minorHAnsi" w:hAnsiTheme="minorHAnsi"/>
          <w:lang w:eastAsia="en-US"/>
        </w:rPr>
        <w:t xml:space="preserve">, </w:t>
      </w:r>
      <w:r w:rsidRPr="007F3363">
        <w:rPr>
          <w:rFonts w:asciiTheme="minorHAnsi" w:hAnsiTheme="minorHAnsi"/>
          <w:lang w:eastAsia="en-US"/>
        </w:rPr>
        <w:t xml:space="preserve">os recursos dos RPPS </w:t>
      </w:r>
      <w:r w:rsidR="00C67809" w:rsidRPr="007F3363">
        <w:rPr>
          <w:rFonts w:asciiTheme="minorHAnsi" w:hAnsiTheme="minorHAnsi"/>
          <w:lang w:eastAsia="en-US"/>
        </w:rPr>
        <w:t>devem</w:t>
      </w:r>
      <w:r w:rsidRPr="007F3363">
        <w:rPr>
          <w:rFonts w:asciiTheme="minorHAnsi" w:hAnsiTheme="minorHAnsi"/>
          <w:lang w:eastAsia="en-US"/>
        </w:rPr>
        <w:t xml:space="preserve"> estar aplicados em bancos públicos ou em instituição financeira que seja controlada por instituição estatal.</w:t>
      </w:r>
    </w:p>
    <w:p w:rsidR="00865D64" w:rsidRPr="007F3363" w:rsidRDefault="00C8416B" w:rsidP="00CD207C">
      <w:pPr>
        <w:ind w:firstLine="720"/>
        <w:rPr>
          <w:rFonts w:asciiTheme="minorHAnsi" w:hAnsiTheme="minorHAnsi"/>
          <w:lang w:eastAsia="en-US"/>
        </w:rPr>
      </w:pPr>
      <w:r w:rsidRPr="007F3363">
        <w:rPr>
          <w:rFonts w:asciiTheme="minorHAnsi" w:hAnsiTheme="minorHAnsi"/>
          <w:lang w:eastAsia="en-US"/>
        </w:rPr>
        <w:t>No caso de inv</w:t>
      </w:r>
      <w:r w:rsidR="002F3129" w:rsidRPr="007F3363">
        <w:rPr>
          <w:rFonts w:asciiTheme="minorHAnsi" w:hAnsiTheme="minorHAnsi"/>
          <w:lang w:eastAsia="en-US"/>
        </w:rPr>
        <w:t>estimentos em Fundos de Índice n</w:t>
      </w:r>
      <w:r w:rsidRPr="007F3363">
        <w:rPr>
          <w:rFonts w:asciiTheme="minorHAnsi" w:hAnsiTheme="minorHAnsi"/>
          <w:lang w:eastAsia="en-US"/>
        </w:rPr>
        <w:t>egociados em Bolsa ou Fundos de Investimento Imobiliários negociados em bolsa, os recursos devem ser aplicados via instituição financeira con</w:t>
      </w:r>
      <w:r w:rsidR="00623627" w:rsidRPr="007F3363">
        <w:rPr>
          <w:rFonts w:asciiTheme="minorHAnsi" w:hAnsiTheme="minorHAnsi"/>
          <w:lang w:eastAsia="en-US"/>
        </w:rPr>
        <w:t>trolada por instituição estatal, bem como sua custódia deve permanecer em instituição Pública.</w:t>
      </w:r>
    </w:p>
    <w:p w:rsidR="005A1E68" w:rsidRPr="007F3363" w:rsidRDefault="005A1E68" w:rsidP="00CD207C">
      <w:pPr>
        <w:pStyle w:val="Ttulo1"/>
        <w:rPr>
          <w:rFonts w:asciiTheme="minorHAnsi" w:hAnsiTheme="minorHAnsi"/>
          <w:sz w:val="24"/>
          <w:szCs w:val="24"/>
          <w:lang w:eastAsia="en-US"/>
        </w:rPr>
      </w:pPr>
      <w:bookmarkStart w:id="25" w:name="_Toc494961919"/>
      <w:r w:rsidRPr="007F3363">
        <w:rPr>
          <w:rFonts w:asciiTheme="minorHAnsi" w:hAnsiTheme="minorHAnsi"/>
          <w:sz w:val="24"/>
          <w:szCs w:val="24"/>
          <w:lang w:eastAsia="en-US"/>
        </w:rPr>
        <w:lastRenderedPageBreak/>
        <w:t>Precificação e Marcação de Ativos</w:t>
      </w:r>
      <w:bookmarkEnd w:id="25"/>
      <w:r w:rsidRPr="007F3363">
        <w:rPr>
          <w:rFonts w:asciiTheme="minorHAnsi" w:hAnsiTheme="minorHAnsi"/>
          <w:sz w:val="24"/>
          <w:szCs w:val="24"/>
          <w:lang w:eastAsia="en-US"/>
        </w:rPr>
        <w:t xml:space="preserve"> </w:t>
      </w:r>
    </w:p>
    <w:p w:rsidR="005A1E68" w:rsidRPr="007F3363" w:rsidRDefault="005A1E68" w:rsidP="00CD207C">
      <w:pPr>
        <w:ind w:firstLine="720"/>
        <w:rPr>
          <w:rFonts w:asciiTheme="minorHAnsi" w:hAnsiTheme="minorHAnsi"/>
          <w:lang w:eastAsia="en-US"/>
        </w:rPr>
      </w:pPr>
      <w:r w:rsidRPr="007F3363">
        <w:rPr>
          <w:rFonts w:asciiTheme="minorHAnsi" w:hAnsiTheme="minorHAnsi"/>
          <w:lang w:eastAsia="en-US"/>
        </w:rPr>
        <w:t>No caso de aquisição de títulos de emissão do Tesouro Nacional em carteira própria, o gestor responsável deverá utilizar o critério de precificação de marcação a mercado.</w:t>
      </w:r>
    </w:p>
    <w:p w:rsidR="005A1E68" w:rsidRPr="007F3363" w:rsidRDefault="005A1E68" w:rsidP="00CD207C">
      <w:pPr>
        <w:ind w:firstLine="720"/>
        <w:rPr>
          <w:rFonts w:asciiTheme="minorHAnsi" w:hAnsiTheme="minorHAnsi"/>
          <w:lang w:eastAsia="en-US"/>
        </w:rPr>
      </w:pPr>
      <w:r w:rsidRPr="007F3363">
        <w:rPr>
          <w:rFonts w:asciiTheme="minorHAnsi" w:hAnsiTheme="minorHAnsi"/>
          <w:lang w:eastAsia="en-US"/>
        </w:rPr>
        <w:t xml:space="preserve">O mesmo ocorrerá caso </w:t>
      </w:r>
      <w:r w:rsidR="00F07176" w:rsidRPr="007F3363">
        <w:rPr>
          <w:rFonts w:asciiTheme="minorHAnsi" w:hAnsiTheme="minorHAnsi"/>
          <w:lang w:eastAsia="en-US"/>
        </w:rPr>
        <w:t xml:space="preserve">o </w:t>
      </w:r>
      <w:r w:rsidR="001E3220" w:rsidRPr="007F3363">
        <w:rPr>
          <w:rFonts w:asciiTheme="minorHAnsi" w:hAnsiTheme="minorHAnsi"/>
        </w:rPr>
        <w:t xml:space="preserve">RPPS – </w:t>
      </w:r>
      <w:r w:rsidR="0073786F" w:rsidRPr="007F3363">
        <w:rPr>
          <w:rFonts w:asciiTheme="minorHAnsi" w:hAnsiTheme="minorHAnsi"/>
        </w:rPr>
        <w:t>São Nicolau</w:t>
      </w:r>
      <w:r w:rsidR="00954ABD" w:rsidRPr="007F3363">
        <w:rPr>
          <w:rFonts w:asciiTheme="minorHAnsi" w:hAnsiTheme="minorHAnsi"/>
          <w:lang w:eastAsia="en-US"/>
        </w:rPr>
        <w:t xml:space="preserve"> </w:t>
      </w:r>
      <w:r w:rsidRPr="007F3363">
        <w:rPr>
          <w:rFonts w:asciiTheme="minorHAnsi" w:hAnsiTheme="minorHAnsi"/>
          <w:lang w:eastAsia="en-US"/>
        </w:rPr>
        <w:t xml:space="preserve">opte por delegar a administração de carteira a uma entidade autorizada terceirizada: deverá a gestão do </w:t>
      </w:r>
      <w:r w:rsidR="0095422B" w:rsidRPr="007F3363">
        <w:rPr>
          <w:rFonts w:asciiTheme="minorHAnsi" w:hAnsiTheme="minorHAnsi"/>
          <w:lang w:eastAsia="en-US"/>
        </w:rPr>
        <w:t>Fundo</w:t>
      </w:r>
      <w:r w:rsidRPr="007F3363">
        <w:rPr>
          <w:rFonts w:asciiTheme="minorHAnsi" w:hAnsiTheme="minorHAnsi"/>
          <w:lang w:eastAsia="en-US"/>
        </w:rPr>
        <w:t xml:space="preserve"> exigir a utilização da marcação a mercado dos referidos títulos.</w:t>
      </w:r>
    </w:p>
    <w:p w:rsidR="005A1E68" w:rsidRPr="007F3363" w:rsidRDefault="005A1E68" w:rsidP="00CD207C">
      <w:pPr>
        <w:pStyle w:val="Ttulo1"/>
        <w:rPr>
          <w:rFonts w:asciiTheme="minorHAnsi" w:hAnsiTheme="minorHAnsi"/>
          <w:sz w:val="24"/>
          <w:szCs w:val="24"/>
          <w:lang w:eastAsia="en-US"/>
        </w:rPr>
      </w:pPr>
      <w:bookmarkStart w:id="26" w:name="_Toc494961920"/>
      <w:r w:rsidRPr="007F3363">
        <w:rPr>
          <w:rFonts w:asciiTheme="minorHAnsi" w:hAnsiTheme="minorHAnsi"/>
          <w:sz w:val="24"/>
          <w:szCs w:val="24"/>
          <w:lang w:eastAsia="en-US"/>
        </w:rPr>
        <w:t>Controle e Gerenciamento de Riscos</w:t>
      </w:r>
      <w:bookmarkEnd w:id="26"/>
      <w:r w:rsidRPr="007F3363">
        <w:rPr>
          <w:rFonts w:asciiTheme="minorHAnsi" w:hAnsiTheme="minorHAnsi"/>
          <w:sz w:val="24"/>
          <w:szCs w:val="24"/>
          <w:lang w:eastAsia="en-US"/>
        </w:rPr>
        <w:t xml:space="preserve"> </w:t>
      </w:r>
    </w:p>
    <w:p w:rsidR="005A1E68" w:rsidRPr="007F3363" w:rsidRDefault="005A1E68" w:rsidP="00CD207C">
      <w:pPr>
        <w:pStyle w:val="Ttulo2"/>
        <w:rPr>
          <w:rFonts w:asciiTheme="minorHAnsi" w:hAnsiTheme="minorHAnsi"/>
          <w:color w:val="auto"/>
          <w:sz w:val="24"/>
          <w:szCs w:val="24"/>
          <w:lang w:eastAsia="en-US"/>
        </w:rPr>
      </w:pPr>
      <w:bookmarkStart w:id="27" w:name="_Toc494961921"/>
      <w:r w:rsidRPr="007F3363">
        <w:rPr>
          <w:rFonts w:asciiTheme="minorHAnsi" w:hAnsiTheme="minorHAnsi"/>
          <w:color w:val="auto"/>
          <w:sz w:val="24"/>
          <w:szCs w:val="24"/>
          <w:lang w:eastAsia="en-US"/>
        </w:rPr>
        <w:t>Risco de Mercado</w:t>
      </w:r>
      <w:bookmarkEnd w:id="27"/>
      <w:r w:rsidRPr="007F3363">
        <w:rPr>
          <w:rFonts w:asciiTheme="minorHAnsi" w:hAnsiTheme="minorHAnsi"/>
          <w:color w:val="auto"/>
          <w:sz w:val="24"/>
          <w:szCs w:val="24"/>
          <w:lang w:eastAsia="en-US"/>
        </w:rPr>
        <w:t xml:space="preserve"> </w:t>
      </w:r>
    </w:p>
    <w:p w:rsidR="005A1E68" w:rsidRPr="007F3363" w:rsidRDefault="003F3679" w:rsidP="00CD207C">
      <w:pPr>
        <w:ind w:firstLine="720"/>
        <w:rPr>
          <w:rFonts w:asciiTheme="minorHAnsi" w:hAnsiTheme="minorHAnsi"/>
          <w:lang w:eastAsia="en-US"/>
        </w:rPr>
      </w:pPr>
      <w:r w:rsidRPr="007F3363">
        <w:rPr>
          <w:rFonts w:asciiTheme="minorHAnsi" w:hAnsiTheme="minorHAnsi"/>
          <w:lang w:eastAsia="en-US"/>
        </w:rPr>
        <w:t xml:space="preserve">O </w:t>
      </w:r>
      <w:r w:rsidR="001E3220" w:rsidRPr="007F3363">
        <w:rPr>
          <w:rFonts w:asciiTheme="minorHAnsi" w:hAnsiTheme="minorHAnsi"/>
        </w:rPr>
        <w:t xml:space="preserve">RPPS – </w:t>
      </w:r>
      <w:r w:rsidR="0073786F" w:rsidRPr="007F3363">
        <w:rPr>
          <w:rFonts w:asciiTheme="minorHAnsi" w:hAnsiTheme="minorHAnsi"/>
        </w:rPr>
        <w:t>São Nicolau</w:t>
      </w:r>
      <w:r w:rsidR="00954ABD" w:rsidRPr="007F3363">
        <w:rPr>
          <w:rFonts w:asciiTheme="minorHAnsi" w:hAnsiTheme="minorHAnsi"/>
          <w:lang w:eastAsia="en-US"/>
        </w:rPr>
        <w:t xml:space="preserve"> </w:t>
      </w:r>
      <w:r w:rsidR="005A1E68" w:rsidRPr="007F3363">
        <w:rPr>
          <w:rFonts w:asciiTheme="minorHAnsi" w:hAnsiTheme="minorHAnsi"/>
          <w:lang w:eastAsia="en-US"/>
        </w:rPr>
        <w:t xml:space="preserve">buscará o gerenciamento e controle de risco de mercado de suas alocações através do acompanhamento no mínimo mensal de mensurações diárias de níveis de risco, utilizando-se da métrica </w:t>
      </w:r>
      <w:r w:rsidR="005A1E68" w:rsidRPr="007F3363">
        <w:rPr>
          <w:rFonts w:asciiTheme="minorHAnsi" w:hAnsiTheme="minorHAnsi"/>
          <w:i/>
          <w:lang w:eastAsia="en-US"/>
        </w:rPr>
        <w:t xml:space="preserve">Value-at-Risk </w:t>
      </w:r>
      <w:r w:rsidR="005A1E68" w:rsidRPr="007F3363">
        <w:rPr>
          <w:rFonts w:asciiTheme="minorHAnsi" w:hAnsiTheme="minorHAnsi"/>
          <w:lang w:eastAsia="en-US"/>
        </w:rPr>
        <w:t>(VaR) de 1 DU (dia útil) e 97,5% de intervalo de confiança.</w:t>
      </w:r>
    </w:p>
    <w:p w:rsidR="005A1E68" w:rsidRPr="007F3363" w:rsidRDefault="005A1E68" w:rsidP="00CD207C">
      <w:pPr>
        <w:ind w:firstLine="720"/>
        <w:rPr>
          <w:rFonts w:asciiTheme="minorHAnsi" w:hAnsiTheme="minorHAnsi"/>
        </w:rPr>
      </w:pPr>
      <w:r w:rsidRPr="007F3363">
        <w:rPr>
          <w:rFonts w:asciiTheme="minorHAnsi" w:hAnsiTheme="minorHAnsi"/>
          <w:lang w:eastAsia="en-US"/>
        </w:rPr>
        <w:t xml:space="preserve">O VaR é uma medida de </w:t>
      </w:r>
      <w:r w:rsidR="00B26E95" w:rsidRPr="007F3363">
        <w:rPr>
          <w:rFonts w:asciiTheme="minorHAnsi" w:hAnsiTheme="minorHAnsi"/>
          <w:lang w:eastAsia="en-US"/>
        </w:rPr>
        <w:t>probabilidade</w:t>
      </w:r>
      <w:r w:rsidRPr="007F3363">
        <w:rPr>
          <w:rFonts w:asciiTheme="minorHAnsi" w:hAnsiTheme="minorHAnsi"/>
          <w:lang w:eastAsia="en-US"/>
        </w:rPr>
        <w:t xml:space="preserve"> que </w:t>
      </w:r>
      <w:r w:rsidRPr="007F3363">
        <w:rPr>
          <w:rFonts w:asciiTheme="minorHAnsi" w:hAnsiTheme="minorHAnsi"/>
        </w:rPr>
        <w:t>serve para mensurar a maior perda possível/esperada de uma determinada aplicação ao longo de um determinado período de tempo e nível de confiança. A carteira de recursos d</w:t>
      </w:r>
      <w:r w:rsidR="003F3679" w:rsidRPr="007F3363">
        <w:rPr>
          <w:rFonts w:asciiTheme="minorHAnsi" w:hAnsiTheme="minorHAnsi"/>
        </w:rPr>
        <w:t>o Fundo</w:t>
      </w:r>
      <w:r w:rsidRPr="007F3363">
        <w:rPr>
          <w:rFonts w:asciiTheme="minorHAnsi" w:hAnsiTheme="minorHAnsi"/>
        </w:rPr>
        <w:t xml:space="preserve"> não deverá apresentar VaR superior a 3%, para tanto, os gestores também deverão monitorar a correlação entre os ativos da carteira.</w:t>
      </w:r>
    </w:p>
    <w:p w:rsidR="005A1E68" w:rsidRPr="007F3363" w:rsidRDefault="005A1E68" w:rsidP="00CD207C">
      <w:pPr>
        <w:ind w:firstLine="720"/>
        <w:rPr>
          <w:rFonts w:asciiTheme="minorHAnsi" w:hAnsiTheme="minorHAnsi"/>
        </w:rPr>
      </w:pPr>
      <w:r w:rsidRPr="007F3363">
        <w:rPr>
          <w:rFonts w:asciiTheme="minorHAnsi" w:hAnsiTheme="minorHAnsi"/>
        </w:rPr>
        <w:t>Além disso, outras metodologias de análise de risco deverão ser utilizadas em avaliações inicias e de acompanhamento do desempenho de fundos de investimentos e fundos de índice: desvio-padrão, índice de rentabilidade/volatilidade; e índice de Sharpe.</w:t>
      </w:r>
    </w:p>
    <w:p w:rsidR="005A1E68" w:rsidRPr="007F3363" w:rsidRDefault="005A1E68" w:rsidP="00CD207C">
      <w:pPr>
        <w:pStyle w:val="Ttulo2"/>
        <w:rPr>
          <w:rFonts w:asciiTheme="minorHAnsi" w:hAnsiTheme="minorHAnsi"/>
          <w:color w:val="auto"/>
          <w:sz w:val="24"/>
          <w:szCs w:val="24"/>
          <w:lang w:eastAsia="en-US"/>
        </w:rPr>
      </w:pPr>
      <w:bookmarkStart w:id="28" w:name="_Toc494961922"/>
      <w:r w:rsidRPr="007F3363">
        <w:rPr>
          <w:rFonts w:asciiTheme="minorHAnsi" w:hAnsiTheme="minorHAnsi"/>
          <w:color w:val="auto"/>
          <w:sz w:val="24"/>
          <w:szCs w:val="24"/>
          <w:lang w:eastAsia="en-US"/>
        </w:rPr>
        <w:t>Risco de Crédito</w:t>
      </w:r>
      <w:bookmarkEnd w:id="28"/>
      <w:r w:rsidRPr="007F3363">
        <w:rPr>
          <w:rFonts w:asciiTheme="minorHAnsi" w:hAnsiTheme="minorHAnsi"/>
          <w:color w:val="auto"/>
          <w:sz w:val="24"/>
          <w:szCs w:val="24"/>
          <w:lang w:eastAsia="en-US"/>
        </w:rPr>
        <w:t xml:space="preserve"> </w:t>
      </w:r>
    </w:p>
    <w:p w:rsidR="00536714" w:rsidRPr="007F3363" w:rsidRDefault="00536714" w:rsidP="00CD207C">
      <w:pPr>
        <w:ind w:firstLine="720"/>
        <w:rPr>
          <w:rFonts w:asciiTheme="minorHAnsi" w:hAnsiTheme="minorHAnsi"/>
        </w:rPr>
      </w:pPr>
      <w:r w:rsidRPr="007F3363">
        <w:rPr>
          <w:rFonts w:asciiTheme="minorHAnsi" w:hAnsiTheme="minorHAnsi"/>
        </w:rPr>
        <w:t>O risco de crédito caracteriza-se pela possibilidade de inadimplência das contrapartes em operações realizadas com o veículo de investimento considerado (fundos de investimento, carteira administrada ou carteira própria) ou dos emissores de títulos e valores mobiliários, podendo ocorrer, conforme o caso, perdas financeiras até o montante das operações contratas e não liquidadas, assim como dos rendimentos e/ou do valor do principal dos títulos e valores mobiliários.</w:t>
      </w:r>
    </w:p>
    <w:p w:rsidR="00536714" w:rsidRPr="007F3363" w:rsidRDefault="00E621F7" w:rsidP="00CD207C">
      <w:pPr>
        <w:rPr>
          <w:rFonts w:asciiTheme="minorHAnsi" w:hAnsiTheme="minorHAnsi"/>
          <w:lang w:eastAsia="en-US"/>
        </w:rPr>
      </w:pPr>
      <w:r w:rsidRPr="007F3363">
        <w:rPr>
          <w:rFonts w:asciiTheme="minorHAnsi" w:hAnsiTheme="minorHAnsi"/>
        </w:rPr>
        <w:tab/>
      </w:r>
      <w:r w:rsidR="002A505C" w:rsidRPr="007F3363">
        <w:rPr>
          <w:rFonts w:asciiTheme="minorHAnsi" w:hAnsiTheme="minorHAnsi"/>
        </w:rPr>
        <w:t>O Fundo</w:t>
      </w:r>
      <w:r w:rsidR="00536714" w:rsidRPr="007F3363">
        <w:rPr>
          <w:rFonts w:asciiTheme="minorHAnsi" w:hAnsiTheme="minorHAnsi"/>
        </w:rPr>
        <w:t xml:space="preserve">, conforme </w:t>
      </w:r>
      <w:r w:rsidR="00536714" w:rsidRPr="007F3363">
        <w:rPr>
          <w:rFonts w:asciiTheme="minorHAnsi" w:hAnsiTheme="minorHAnsi"/>
          <w:lang w:eastAsia="en-US"/>
        </w:rPr>
        <w:t>Parecer número 017/2004</w:t>
      </w:r>
      <w:r w:rsidR="00623627" w:rsidRPr="007F3363">
        <w:rPr>
          <w:rFonts w:asciiTheme="minorHAnsi" w:hAnsiTheme="minorHAnsi"/>
          <w:lang w:eastAsia="en-US"/>
        </w:rPr>
        <w:t xml:space="preserve"> e 34/2004</w:t>
      </w:r>
      <w:r w:rsidR="00536714" w:rsidRPr="007F3363">
        <w:rPr>
          <w:rFonts w:asciiTheme="minorHAnsi" w:hAnsiTheme="minorHAnsi"/>
          <w:lang w:eastAsia="en-US"/>
        </w:rPr>
        <w:t xml:space="preserve"> emitido</w:t>
      </w:r>
      <w:r w:rsidR="00623627" w:rsidRPr="007F3363">
        <w:rPr>
          <w:rFonts w:asciiTheme="minorHAnsi" w:hAnsiTheme="minorHAnsi"/>
          <w:lang w:eastAsia="en-US"/>
        </w:rPr>
        <w:t>s</w:t>
      </w:r>
      <w:r w:rsidR="00536714" w:rsidRPr="007F3363">
        <w:rPr>
          <w:rFonts w:asciiTheme="minorHAnsi" w:hAnsiTheme="minorHAnsi"/>
          <w:lang w:eastAsia="en-US"/>
        </w:rPr>
        <w:t xml:space="preserve"> pelo TCE-RS, está limitado a aplicar seus recursos em bancos públicos ou em instituição financeira que seja controlada por instituição estatal. </w:t>
      </w:r>
    </w:p>
    <w:p w:rsidR="00536714" w:rsidRPr="007F3363" w:rsidRDefault="00E621F7" w:rsidP="00CD207C">
      <w:pPr>
        <w:ind w:firstLine="720"/>
        <w:rPr>
          <w:rFonts w:asciiTheme="minorHAnsi" w:hAnsiTheme="minorHAnsi"/>
          <w:lang w:eastAsia="en-US"/>
        </w:rPr>
      </w:pPr>
      <w:r w:rsidRPr="007F3363">
        <w:rPr>
          <w:rFonts w:asciiTheme="minorHAnsi" w:hAnsiTheme="minorHAnsi"/>
          <w:lang w:eastAsia="en-US"/>
        </w:rPr>
        <w:lastRenderedPageBreak/>
        <w:t>O</w:t>
      </w:r>
      <w:r w:rsidR="00536714" w:rsidRPr="007F3363">
        <w:rPr>
          <w:rFonts w:asciiTheme="minorHAnsi" w:hAnsiTheme="minorHAnsi"/>
          <w:lang w:eastAsia="en-US"/>
        </w:rPr>
        <w:t xml:space="preserve"> F</w:t>
      </w:r>
      <w:r w:rsidR="002A505C" w:rsidRPr="007F3363">
        <w:rPr>
          <w:rFonts w:asciiTheme="minorHAnsi" w:hAnsiTheme="minorHAnsi"/>
          <w:lang w:eastAsia="en-US"/>
        </w:rPr>
        <w:t>undo</w:t>
      </w:r>
      <w:r w:rsidR="00536714" w:rsidRPr="007F3363">
        <w:rPr>
          <w:rFonts w:asciiTheme="minorHAnsi" w:hAnsiTheme="minorHAnsi"/>
          <w:lang w:eastAsia="en-US"/>
        </w:rPr>
        <w:t xml:space="preserve"> monitorará o risco de crédito de tais instituições tendo como base o rating das agências classifi</w:t>
      </w:r>
      <w:r w:rsidR="00623627" w:rsidRPr="007F3363">
        <w:rPr>
          <w:rFonts w:asciiTheme="minorHAnsi" w:hAnsiTheme="minorHAnsi"/>
          <w:lang w:eastAsia="en-US"/>
        </w:rPr>
        <w:t xml:space="preserve">cadoras de risco: Moody`s, S&amp;P, </w:t>
      </w:r>
      <w:r w:rsidR="00536714" w:rsidRPr="007F3363">
        <w:rPr>
          <w:rFonts w:asciiTheme="minorHAnsi" w:hAnsiTheme="minorHAnsi"/>
          <w:lang w:eastAsia="en-US"/>
        </w:rPr>
        <w:t>Fitch</w:t>
      </w:r>
      <w:r w:rsidR="00623627" w:rsidRPr="007F3363">
        <w:rPr>
          <w:rFonts w:asciiTheme="minorHAnsi" w:hAnsiTheme="minorHAnsi"/>
          <w:lang w:eastAsia="en-US"/>
        </w:rPr>
        <w:t>,</w:t>
      </w:r>
      <w:proofErr w:type="gramStart"/>
      <w:r w:rsidR="00623627" w:rsidRPr="007F3363">
        <w:rPr>
          <w:rFonts w:asciiTheme="minorHAnsi" w:hAnsiTheme="minorHAnsi"/>
          <w:lang w:eastAsia="en-US"/>
        </w:rPr>
        <w:t xml:space="preserve">  </w:t>
      </w:r>
      <w:proofErr w:type="spellStart"/>
      <w:proofErr w:type="gramEnd"/>
      <w:r w:rsidR="00623627" w:rsidRPr="007F3363">
        <w:rPr>
          <w:rFonts w:asciiTheme="minorHAnsi" w:hAnsiTheme="minorHAnsi"/>
          <w:lang w:eastAsia="en-US"/>
        </w:rPr>
        <w:t>Austing</w:t>
      </w:r>
      <w:proofErr w:type="spellEnd"/>
      <w:r w:rsidR="00623627" w:rsidRPr="007F3363">
        <w:rPr>
          <w:rFonts w:asciiTheme="minorHAnsi" w:hAnsiTheme="minorHAnsi"/>
          <w:lang w:eastAsia="en-US"/>
        </w:rPr>
        <w:t xml:space="preserve"> Ratings e LF Ratings.</w:t>
      </w:r>
      <w:r w:rsidRPr="007F3363">
        <w:rPr>
          <w:rFonts w:asciiTheme="minorHAnsi" w:hAnsiTheme="minorHAnsi"/>
        </w:rPr>
        <w:t xml:space="preserve"> </w:t>
      </w:r>
    </w:p>
    <w:p w:rsidR="00536714" w:rsidRPr="007F3363" w:rsidRDefault="00536714" w:rsidP="00CD207C">
      <w:pPr>
        <w:ind w:firstLine="720"/>
        <w:rPr>
          <w:rFonts w:asciiTheme="minorHAnsi" w:hAnsiTheme="minorHAnsi"/>
          <w:lang w:eastAsia="en-US"/>
        </w:rPr>
      </w:pPr>
      <w:r w:rsidRPr="007F3363">
        <w:rPr>
          <w:rFonts w:asciiTheme="minorHAnsi" w:hAnsiTheme="minorHAnsi"/>
          <w:lang w:eastAsia="en-US"/>
        </w:rPr>
        <w:t>Após os cortes feitos à nota de crédito do Brasil, o setor financeiro Brasileiro sofreu um efeito dominó. As instituições financeiras raramente são avaliadas acima da nota de crédito soberano. Isto ocorre</w:t>
      </w:r>
      <w:r w:rsidR="0067784F" w:rsidRPr="007F3363">
        <w:rPr>
          <w:rFonts w:asciiTheme="minorHAnsi" w:hAnsiTheme="minorHAnsi"/>
          <w:lang w:eastAsia="en-US"/>
        </w:rPr>
        <w:t>, pois</w:t>
      </w:r>
      <w:r w:rsidRPr="007F3363">
        <w:rPr>
          <w:rFonts w:asciiTheme="minorHAnsi" w:hAnsiTheme="minorHAnsi"/>
          <w:lang w:eastAsia="en-US"/>
        </w:rPr>
        <w:t xml:space="preserve"> os fatores econômicos que afetam o país também causam turbulência nos bancos, e, além disso, aumenta-se o risco de poderes regulatórios restringirem a flexibilidade financeira do sistema bancário. Assim, toda vez que a nota de crédito do país é rebaixada, os bancos em geral são afetados, conforme demonstrado na tabela abaixo:</w:t>
      </w:r>
    </w:p>
    <w:tbl>
      <w:tblPr>
        <w:tblW w:w="10080" w:type="dxa"/>
        <w:tblInd w:w="93" w:type="dxa"/>
        <w:tblLayout w:type="fixed"/>
        <w:tblLook w:val="04A0" w:firstRow="1" w:lastRow="0" w:firstColumn="1" w:lastColumn="0" w:noHBand="0" w:noVBand="1"/>
      </w:tblPr>
      <w:tblGrid>
        <w:gridCol w:w="3134"/>
        <w:gridCol w:w="992"/>
        <w:gridCol w:w="1985"/>
        <w:gridCol w:w="2126"/>
        <w:gridCol w:w="1843"/>
      </w:tblGrid>
      <w:tr w:rsidR="005A1BDF" w:rsidRPr="007F3363" w:rsidTr="003B394E">
        <w:trPr>
          <w:trHeight w:val="335"/>
        </w:trPr>
        <w:tc>
          <w:tcPr>
            <w:tcW w:w="3134" w:type="dxa"/>
            <w:tcBorders>
              <w:top w:val="single" w:sz="4" w:space="0" w:color="auto"/>
              <w:left w:val="nil"/>
              <w:bottom w:val="single" w:sz="4" w:space="0" w:color="auto"/>
              <w:right w:val="nil"/>
            </w:tcBorders>
            <w:shd w:val="clear" w:color="000000" w:fill="F2F2F2"/>
            <w:noWrap/>
            <w:vAlign w:val="center"/>
            <w:hideMark/>
          </w:tcPr>
          <w:p w:rsidR="005A1BDF" w:rsidRPr="007F3363" w:rsidRDefault="005A1BDF" w:rsidP="00CD207C">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Moody's</w:t>
            </w:r>
          </w:p>
        </w:tc>
        <w:tc>
          <w:tcPr>
            <w:tcW w:w="2977" w:type="dxa"/>
            <w:gridSpan w:val="2"/>
            <w:tcBorders>
              <w:top w:val="single" w:sz="4" w:space="0" w:color="auto"/>
              <w:left w:val="nil"/>
              <w:bottom w:val="single" w:sz="4" w:space="0" w:color="auto"/>
              <w:right w:val="nil"/>
            </w:tcBorders>
            <w:shd w:val="clear" w:color="000000" w:fill="F2F2F2"/>
            <w:vAlign w:val="center"/>
            <w:hideMark/>
          </w:tcPr>
          <w:p w:rsidR="005A1BDF" w:rsidRPr="007F3363" w:rsidRDefault="005A1BDF" w:rsidP="00CD207C">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Nota Moeda Estrangeira LP</w:t>
            </w:r>
          </w:p>
        </w:tc>
        <w:tc>
          <w:tcPr>
            <w:tcW w:w="2126" w:type="dxa"/>
            <w:tcBorders>
              <w:top w:val="single" w:sz="4" w:space="0" w:color="auto"/>
              <w:left w:val="nil"/>
              <w:bottom w:val="single" w:sz="4" w:space="0" w:color="auto"/>
              <w:right w:val="nil"/>
            </w:tcBorders>
            <w:shd w:val="clear" w:color="000000" w:fill="F2F2F2"/>
            <w:noWrap/>
            <w:vAlign w:val="center"/>
            <w:hideMark/>
          </w:tcPr>
          <w:p w:rsidR="005A1BDF" w:rsidRPr="007F3363" w:rsidRDefault="005A1BDF" w:rsidP="00CD207C">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Data</w:t>
            </w:r>
          </w:p>
        </w:tc>
        <w:tc>
          <w:tcPr>
            <w:tcW w:w="1843" w:type="dxa"/>
            <w:tcBorders>
              <w:top w:val="single" w:sz="4" w:space="0" w:color="auto"/>
              <w:left w:val="nil"/>
              <w:bottom w:val="single" w:sz="4" w:space="0" w:color="auto"/>
              <w:right w:val="nil"/>
            </w:tcBorders>
            <w:shd w:val="clear" w:color="000000" w:fill="F2F2F2"/>
            <w:noWrap/>
            <w:vAlign w:val="center"/>
            <w:hideMark/>
          </w:tcPr>
          <w:p w:rsidR="005A1BDF" w:rsidRPr="007F3363" w:rsidRDefault="005A1BDF" w:rsidP="00CD207C">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Perspectiva</w:t>
            </w:r>
          </w:p>
        </w:tc>
      </w:tr>
      <w:tr w:rsidR="005A1BDF" w:rsidRPr="007F3363" w:rsidTr="003B394E">
        <w:trPr>
          <w:trHeight w:val="300"/>
        </w:trPr>
        <w:tc>
          <w:tcPr>
            <w:tcW w:w="3134" w:type="dxa"/>
            <w:tcBorders>
              <w:top w:val="single" w:sz="4" w:space="0" w:color="auto"/>
              <w:left w:val="nil"/>
              <w:bottom w:val="dotted" w:sz="4" w:space="0" w:color="auto"/>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Nota Soberana do Brasil</w:t>
            </w:r>
          </w:p>
        </w:tc>
        <w:tc>
          <w:tcPr>
            <w:tcW w:w="2977" w:type="dxa"/>
            <w:gridSpan w:val="2"/>
            <w:tcBorders>
              <w:top w:val="single" w:sz="4" w:space="0" w:color="auto"/>
              <w:left w:val="nil"/>
              <w:bottom w:val="dotted" w:sz="4" w:space="0" w:color="auto"/>
              <w:right w:val="nil"/>
            </w:tcBorders>
            <w:shd w:val="clear" w:color="auto" w:fill="auto"/>
            <w:noWrap/>
            <w:vAlign w:val="bottom"/>
            <w:hideMark/>
          </w:tcPr>
          <w:p w:rsidR="005A1BDF" w:rsidRPr="007F3363" w:rsidRDefault="005A1BDF"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Ba</w:t>
            </w:r>
            <w:r w:rsidR="0025572D" w:rsidRPr="007F3363">
              <w:rPr>
                <w:rFonts w:asciiTheme="minorHAnsi" w:eastAsia="Times New Roman" w:hAnsiTheme="minorHAnsi" w:cs="Times New Roman"/>
                <w:lang w:eastAsia="en-US"/>
              </w:rPr>
              <w:t>3</w:t>
            </w:r>
          </w:p>
        </w:tc>
        <w:tc>
          <w:tcPr>
            <w:tcW w:w="2126" w:type="dxa"/>
            <w:tcBorders>
              <w:top w:val="single" w:sz="4" w:space="0" w:color="auto"/>
              <w:left w:val="nil"/>
              <w:bottom w:val="dotted" w:sz="4" w:space="0" w:color="auto"/>
              <w:right w:val="nil"/>
            </w:tcBorders>
            <w:shd w:val="clear" w:color="auto" w:fill="auto"/>
            <w:noWrap/>
            <w:vAlign w:val="bottom"/>
            <w:hideMark/>
          </w:tcPr>
          <w:p w:rsidR="005A1BDF" w:rsidRPr="007F3363" w:rsidRDefault="0025572D"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04/</w:t>
            </w:r>
            <w:r w:rsidR="005A1BDF" w:rsidRPr="007F3363">
              <w:rPr>
                <w:rFonts w:asciiTheme="minorHAnsi" w:eastAsia="Times New Roman" w:hAnsiTheme="minorHAnsi" w:cs="Times New Roman"/>
                <w:lang w:eastAsia="en-US"/>
              </w:rPr>
              <w:t>1</w:t>
            </w:r>
            <w:r w:rsidRPr="007F3363">
              <w:rPr>
                <w:rFonts w:asciiTheme="minorHAnsi" w:eastAsia="Times New Roman" w:hAnsiTheme="minorHAnsi" w:cs="Times New Roman"/>
                <w:lang w:eastAsia="en-US"/>
              </w:rPr>
              <w:t>8</w:t>
            </w:r>
          </w:p>
        </w:tc>
        <w:tc>
          <w:tcPr>
            <w:tcW w:w="1843" w:type="dxa"/>
            <w:tcBorders>
              <w:top w:val="single" w:sz="4" w:space="0" w:color="auto"/>
              <w:left w:val="nil"/>
              <w:bottom w:val="dotted" w:sz="4" w:space="0" w:color="auto"/>
              <w:right w:val="nil"/>
            </w:tcBorders>
            <w:shd w:val="clear" w:color="auto" w:fill="auto"/>
            <w:noWrap/>
            <w:vAlign w:val="bottom"/>
            <w:hideMark/>
          </w:tcPr>
          <w:p w:rsidR="005A1BDF" w:rsidRPr="007F3363" w:rsidRDefault="0025572D"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Estável</w:t>
            </w:r>
          </w:p>
        </w:tc>
      </w:tr>
      <w:tr w:rsidR="005A1BDF" w:rsidRPr="007F3363" w:rsidTr="004D048E">
        <w:trPr>
          <w:trHeight w:val="300"/>
        </w:trPr>
        <w:tc>
          <w:tcPr>
            <w:tcW w:w="3134" w:type="dxa"/>
            <w:tcBorders>
              <w:top w:val="dotted" w:sz="4" w:space="0" w:color="auto"/>
              <w:left w:val="nil"/>
              <w:bottom w:val="dotted" w:sz="4" w:space="0" w:color="auto"/>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Banco do Estado do RS S.A.</w:t>
            </w:r>
          </w:p>
        </w:tc>
        <w:tc>
          <w:tcPr>
            <w:tcW w:w="2977" w:type="dxa"/>
            <w:gridSpan w:val="2"/>
            <w:tcBorders>
              <w:top w:val="dotted" w:sz="4" w:space="0" w:color="auto"/>
              <w:left w:val="nil"/>
              <w:bottom w:val="dotted" w:sz="4" w:space="0" w:color="auto"/>
              <w:right w:val="nil"/>
            </w:tcBorders>
            <w:shd w:val="clear" w:color="auto" w:fill="auto"/>
            <w:noWrap/>
            <w:vAlign w:val="bottom"/>
            <w:hideMark/>
          </w:tcPr>
          <w:p w:rsidR="005A1BDF" w:rsidRPr="007F3363" w:rsidRDefault="005A1BDF"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Ba</w:t>
            </w:r>
            <w:r w:rsidR="00130485" w:rsidRPr="007F3363">
              <w:rPr>
                <w:rFonts w:asciiTheme="minorHAnsi" w:eastAsia="Times New Roman" w:hAnsiTheme="minorHAnsi" w:cs="Times New Roman"/>
                <w:lang w:eastAsia="en-US"/>
              </w:rPr>
              <w:t>2</w:t>
            </w:r>
          </w:p>
        </w:tc>
        <w:tc>
          <w:tcPr>
            <w:tcW w:w="2126" w:type="dxa"/>
            <w:tcBorders>
              <w:top w:val="dotted" w:sz="4" w:space="0" w:color="auto"/>
              <w:left w:val="nil"/>
              <w:bottom w:val="dotted" w:sz="4" w:space="0" w:color="auto"/>
              <w:right w:val="nil"/>
            </w:tcBorders>
            <w:shd w:val="clear" w:color="auto" w:fill="auto"/>
            <w:noWrap/>
            <w:vAlign w:val="bottom"/>
            <w:hideMark/>
          </w:tcPr>
          <w:p w:rsidR="005A1BDF" w:rsidRPr="007F3363" w:rsidRDefault="00130485"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06/</w:t>
            </w:r>
            <w:r w:rsidR="005A1BDF" w:rsidRPr="007F3363">
              <w:rPr>
                <w:rFonts w:asciiTheme="minorHAnsi" w:eastAsia="Times New Roman" w:hAnsiTheme="minorHAnsi" w:cs="Times New Roman"/>
                <w:lang w:eastAsia="en-US"/>
              </w:rPr>
              <w:t>1</w:t>
            </w:r>
            <w:r w:rsidRPr="007F3363">
              <w:rPr>
                <w:rFonts w:asciiTheme="minorHAnsi" w:eastAsia="Times New Roman" w:hAnsiTheme="minorHAnsi" w:cs="Times New Roman"/>
                <w:lang w:eastAsia="en-US"/>
              </w:rPr>
              <w:t>8</w:t>
            </w:r>
          </w:p>
        </w:tc>
        <w:tc>
          <w:tcPr>
            <w:tcW w:w="1843" w:type="dxa"/>
            <w:tcBorders>
              <w:top w:val="dotted" w:sz="4" w:space="0" w:color="auto"/>
              <w:left w:val="nil"/>
              <w:bottom w:val="dotted" w:sz="4" w:space="0" w:color="auto"/>
              <w:right w:val="nil"/>
            </w:tcBorders>
            <w:shd w:val="clear" w:color="auto" w:fill="auto"/>
            <w:noWrap/>
            <w:vAlign w:val="bottom"/>
            <w:hideMark/>
          </w:tcPr>
          <w:p w:rsidR="005A1BDF" w:rsidRPr="007F3363" w:rsidRDefault="00623627"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Estável</w:t>
            </w:r>
          </w:p>
        </w:tc>
      </w:tr>
      <w:tr w:rsidR="005A1BDF" w:rsidRPr="007F3363" w:rsidTr="004D048E">
        <w:trPr>
          <w:trHeight w:val="300"/>
        </w:trPr>
        <w:tc>
          <w:tcPr>
            <w:tcW w:w="3134" w:type="dxa"/>
            <w:tcBorders>
              <w:top w:val="dotted" w:sz="4" w:space="0" w:color="auto"/>
              <w:left w:val="nil"/>
              <w:bottom w:val="dotted" w:sz="4" w:space="0" w:color="auto"/>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Banco do Brasil S.A.</w:t>
            </w:r>
          </w:p>
        </w:tc>
        <w:tc>
          <w:tcPr>
            <w:tcW w:w="2977" w:type="dxa"/>
            <w:gridSpan w:val="2"/>
            <w:tcBorders>
              <w:top w:val="dotted" w:sz="4" w:space="0" w:color="auto"/>
              <w:left w:val="nil"/>
              <w:bottom w:val="dotted" w:sz="4" w:space="0" w:color="auto"/>
              <w:right w:val="nil"/>
            </w:tcBorders>
            <w:shd w:val="clear" w:color="auto" w:fill="auto"/>
            <w:noWrap/>
            <w:vAlign w:val="bottom"/>
            <w:hideMark/>
          </w:tcPr>
          <w:p w:rsidR="005A1BDF" w:rsidRPr="007F3363" w:rsidRDefault="005A1BDF"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Ba</w:t>
            </w:r>
            <w:r w:rsidR="00D237FF" w:rsidRPr="007F3363">
              <w:rPr>
                <w:rFonts w:asciiTheme="minorHAnsi" w:eastAsia="Times New Roman" w:hAnsiTheme="minorHAnsi" w:cs="Times New Roman"/>
                <w:lang w:eastAsia="en-US"/>
              </w:rPr>
              <w:t>2</w:t>
            </w:r>
          </w:p>
        </w:tc>
        <w:tc>
          <w:tcPr>
            <w:tcW w:w="2126" w:type="dxa"/>
            <w:tcBorders>
              <w:top w:val="dotted" w:sz="4" w:space="0" w:color="auto"/>
              <w:left w:val="nil"/>
              <w:bottom w:val="dotted" w:sz="4" w:space="0" w:color="auto"/>
              <w:right w:val="nil"/>
            </w:tcBorders>
            <w:shd w:val="clear" w:color="auto" w:fill="auto"/>
            <w:noWrap/>
            <w:vAlign w:val="bottom"/>
            <w:hideMark/>
          </w:tcPr>
          <w:p w:rsidR="005A1BDF" w:rsidRPr="007F3363" w:rsidRDefault="00D237FF"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04</w:t>
            </w:r>
            <w:r w:rsidR="00BD2B87" w:rsidRPr="007F3363">
              <w:rPr>
                <w:rFonts w:asciiTheme="minorHAnsi" w:eastAsia="Times New Roman" w:hAnsiTheme="minorHAnsi" w:cs="Times New Roman"/>
                <w:lang w:eastAsia="en-US"/>
              </w:rPr>
              <w:t>/</w:t>
            </w:r>
            <w:r w:rsidRPr="007F3363">
              <w:rPr>
                <w:rFonts w:asciiTheme="minorHAnsi" w:eastAsia="Times New Roman" w:hAnsiTheme="minorHAnsi" w:cs="Times New Roman"/>
                <w:lang w:eastAsia="en-US"/>
              </w:rPr>
              <w:t>18</w:t>
            </w:r>
          </w:p>
        </w:tc>
        <w:tc>
          <w:tcPr>
            <w:tcW w:w="1843" w:type="dxa"/>
            <w:tcBorders>
              <w:top w:val="dotted" w:sz="4" w:space="0" w:color="auto"/>
              <w:left w:val="nil"/>
              <w:bottom w:val="dotted" w:sz="4" w:space="0" w:color="auto"/>
              <w:right w:val="nil"/>
            </w:tcBorders>
            <w:shd w:val="clear" w:color="auto" w:fill="auto"/>
            <w:noWrap/>
            <w:vAlign w:val="bottom"/>
            <w:hideMark/>
          </w:tcPr>
          <w:p w:rsidR="005A1BDF" w:rsidRPr="007F3363" w:rsidRDefault="00BD2B87"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Estável</w:t>
            </w:r>
          </w:p>
        </w:tc>
      </w:tr>
      <w:tr w:rsidR="005A1BDF" w:rsidRPr="007F3363" w:rsidTr="003B394E">
        <w:trPr>
          <w:trHeight w:val="300"/>
        </w:trPr>
        <w:tc>
          <w:tcPr>
            <w:tcW w:w="3134" w:type="dxa"/>
            <w:tcBorders>
              <w:top w:val="dotted" w:sz="4" w:space="0" w:color="auto"/>
              <w:left w:val="nil"/>
              <w:bottom w:val="single" w:sz="4" w:space="0" w:color="auto"/>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Caixa Econômica Federal</w:t>
            </w:r>
          </w:p>
        </w:tc>
        <w:tc>
          <w:tcPr>
            <w:tcW w:w="2977" w:type="dxa"/>
            <w:gridSpan w:val="2"/>
            <w:tcBorders>
              <w:top w:val="dotted" w:sz="4" w:space="0" w:color="auto"/>
              <w:left w:val="nil"/>
              <w:bottom w:val="single" w:sz="4" w:space="0" w:color="auto"/>
              <w:right w:val="nil"/>
            </w:tcBorders>
            <w:shd w:val="clear" w:color="auto" w:fill="auto"/>
            <w:noWrap/>
            <w:vAlign w:val="bottom"/>
            <w:hideMark/>
          </w:tcPr>
          <w:p w:rsidR="005A1BDF" w:rsidRPr="007F3363" w:rsidRDefault="005A1BDF"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Ba</w:t>
            </w:r>
            <w:r w:rsidR="00D237FF" w:rsidRPr="007F3363">
              <w:rPr>
                <w:rFonts w:asciiTheme="minorHAnsi" w:eastAsia="Times New Roman" w:hAnsiTheme="minorHAnsi" w:cs="Times New Roman"/>
                <w:lang w:eastAsia="en-US"/>
              </w:rPr>
              <w:t>2</w:t>
            </w:r>
          </w:p>
        </w:tc>
        <w:tc>
          <w:tcPr>
            <w:tcW w:w="2126" w:type="dxa"/>
            <w:tcBorders>
              <w:top w:val="dotted" w:sz="4" w:space="0" w:color="auto"/>
              <w:left w:val="nil"/>
              <w:bottom w:val="single" w:sz="4" w:space="0" w:color="auto"/>
              <w:right w:val="nil"/>
            </w:tcBorders>
            <w:shd w:val="clear" w:color="auto" w:fill="auto"/>
            <w:noWrap/>
            <w:vAlign w:val="bottom"/>
            <w:hideMark/>
          </w:tcPr>
          <w:p w:rsidR="005A1BDF" w:rsidRPr="007F3363" w:rsidRDefault="00D237FF"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06</w:t>
            </w:r>
            <w:r w:rsidR="005A1BDF" w:rsidRPr="007F3363">
              <w:rPr>
                <w:rFonts w:asciiTheme="minorHAnsi" w:eastAsia="Times New Roman" w:hAnsiTheme="minorHAnsi" w:cs="Times New Roman"/>
                <w:lang w:eastAsia="en-US"/>
              </w:rPr>
              <w:t>/</w:t>
            </w:r>
            <w:r w:rsidRPr="007F3363">
              <w:rPr>
                <w:rFonts w:asciiTheme="minorHAnsi" w:eastAsia="Times New Roman" w:hAnsiTheme="minorHAnsi" w:cs="Times New Roman"/>
                <w:lang w:eastAsia="en-US"/>
              </w:rPr>
              <w:t>18</w:t>
            </w:r>
          </w:p>
        </w:tc>
        <w:tc>
          <w:tcPr>
            <w:tcW w:w="1843" w:type="dxa"/>
            <w:tcBorders>
              <w:top w:val="dotted" w:sz="4" w:space="0" w:color="auto"/>
              <w:left w:val="nil"/>
              <w:bottom w:val="single" w:sz="4" w:space="0" w:color="auto"/>
              <w:right w:val="nil"/>
            </w:tcBorders>
            <w:shd w:val="clear" w:color="auto" w:fill="auto"/>
            <w:noWrap/>
            <w:vAlign w:val="bottom"/>
            <w:hideMark/>
          </w:tcPr>
          <w:p w:rsidR="005A1BDF" w:rsidRPr="007F3363" w:rsidRDefault="00BD2B87"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Estável</w:t>
            </w:r>
          </w:p>
        </w:tc>
      </w:tr>
      <w:tr w:rsidR="005A1BDF" w:rsidRPr="007F3363" w:rsidTr="003B394E">
        <w:trPr>
          <w:trHeight w:val="300"/>
        </w:trPr>
        <w:tc>
          <w:tcPr>
            <w:tcW w:w="3134" w:type="dxa"/>
            <w:tcBorders>
              <w:top w:val="single" w:sz="4" w:space="0" w:color="auto"/>
              <w:left w:val="nil"/>
              <w:bottom w:val="single" w:sz="4" w:space="0" w:color="auto"/>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b/>
                <w:bCs/>
                <w:lang w:eastAsia="en-US"/>
              </w:rPr>
            </w:pPr>
          </w:p>
        </w:tc>
        <w:tc>
          <w:tcPr>
            <w:tcW w:w="2977" w:type="dxa"/>
            <w:gridSpan w:val="2"/>
            <w:tcBorders>
              <w:top w:val="single" w:sz="4" w:space="0" w:color="auto"/>
              <w:left w:val="nil"/>
              <w:bottom w:val="single" w:sz="4" w:space="0" w:color="auto"/>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lang w:eastAsia="en-US"/>
              </w:rPr>
            </w:pPr>
          </w:p>
        </w:tc>
        <w:tc>
          <w:tcPr>
            <w:tcW w:w="2126" w:type="dxa"/>
            <w:tcBorders>
              <w:top w:val="single" w:sz="4" w:space="0" w:color="auto"/>
              <w:left w:val="nil"/>
              <w:bottom w:val="single" w:sz="4" w:space="0" w:color="auto"/>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lang w:eastAsia="en-US"/>
              </w:rPr>
            </w:pPr>
          </w:p>
        </w:tc>
        <w:tc>
          <w:tcPr>
            <w:tcW w:w="1843" w:type="dxa"/>
            <w:tcBorders>
              <w:top w:val="single" w:sz="4" w:space="0" w:color="auto"/>
              <w:left w:val="nil"/>
              <w:bottom w:val="single" w:sz="4" w:space="0" w:color="auto"/>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lang w:eastAsia="en-US"/>
              </w:rPr>
            </w:pPr>
          </w:p>
        </w:tc>
      </w:tr>
      <w:tr w:rsidR="005A1BDF" w:rsidRPr="007F3363" w:rsidTr="003B394E">
        <w:trPr>
          <w:trHeight w:val="319"/>
        </w:trPr>
        <w:tc>
          <w:tcPr>
            <w:tcW w:w="3134" w:type="dxa"/>
            <w:tcBorders>
              <w:top w:val="single" w:sz="4" w:space="0" w:color="auto"/>
              <w:left w:val="nil"/>
              <w:bottom w:val="single" w:sz="4" w:space="0" w:color="auto"/>
              <w:right w:val="nil"/>
            </w:tcBorders>
            <w:shd w:val="clear" w:color="000000" w:fill="F2F2F2"/>
            <w:noWrap/>
            <w:vAlign w:val="center"/>
            <w:hideMark/>
          </w:tcPr>
          <w:p w:rsidR="005A1BDF" w:rsidRPr="007F3363" w:rsidRDefault="005A1BDF" w:rsidP="00CD207C">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S&amp;P</w:t>
            </w:r>
          </w:p>
        </w:tc>
        <w:tc>
          <w:tcPr>
            <w:tcW w:w="2977" w:type="dxa"/>
            <w:gridSpan w:val="2"/>
            <w:tcBorders>
              <w:top w:val="single" w:sz="4" w:space="0" w:color="auto"/>
              <w:left w:val="nil"/>
              <w:bottom w:val="single" w:sz="4" w:space="0" w:color="auto"/>
              <w:right w:val="nil"/>
            </w:tcBorders>
            <w:shd w:val="clear" w:color="000000" w:fill="F2F2F2"/>
            <w:vAlign w:val="center"/>
            <w:hideMark/>
          </w:tcPr>
          <w:p w:rsidR="005A1BDF" w:rsidRPr="007F3363" w:rsidRDefault="005A1BDF" w:rsidP="00CD207C">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Nota Moeda Estrangeira LP</w:t>
            </w:r>
          </w:p>
        </w:tc>
        <w:tc>
          <w:tcPr>
            <w:tcW w:w="2126" w:type="dxa"/>
            <w:tcBorders>
              <w:top w:val="single" w:sz="4" w:space="0" w:color="auto"/>
              <w:left w:val="nil"/>
              <w:bottom w:val="single" w:sz="4" w:space="0" w:color="auto"/>
              <w:right w:val="nil"/>
            </w:tcBorders>
            <w:shd w:val="clear" w:color="000000" w:fill="F2F2F2"/>
            <w:noWrap/>
            <w:vAlign w:val="center"/>
            <w:hideMark/>
          </w:tcPr>
          <w:p w:rsidR="005A1BDF" w:rsidRPr="007F3363" w:rsidRDefault="005A1BDF" w:rsidP="00CD207C">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Data</w:t>
            </w:r>
          </w:p>
        </w:tc>
        <w:tc>
          <w:tcPr>
            <w:tcW w:w="1843" w:type="dxa"/>
            <w:tcBorders>
              <w:top w:val="single" w:sz="4" w:space="0" w:color="auto"/>
              <w:left w:val="nil"/>
              <w:bottom w:val="single" w:sz="4" w:space="0" w:color="auto"/>
              <w:right w:val="nil"/>
            </w:tcBorders>
            <w:shd w:val="clear" w:color="000000" w:fill="F2F2F2"/>
            <w:noWrap/>
            <w:vAlign w:val="center"/>
            <w:hideMark/>
          </w:tcPr>
          <w:p w:rsidR="005A1BDF" w:rsidRPr="007F3363" w:rsidRDefault="005A1BDF" w:rsidP="00CD207C">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Perspectiva</w:t>
            </w:r>
          </w:p>
        </w:tc>
      </w:tr>
      <w:tr w:rsidR="005A1BDF" w:rsidRPr="007F3363" w:rsidTr="003B394E">
        <w:trPr>
          <w:trHeight w:val="300"/>
        </w:trPr>
        <w:tc>
          <w:tcPr>
            <w:tcW w:w="3134" w:type="dxa"/>
            <w:tcBorders>
              <w:top w:val="single" w:sz="4" w:space="0" w:color="auto"/>
              <w:left w:val="nil"/>
              <w:bottom w:val="dotted" w:sz="4" w:space="0" w:color="auto"/>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Nota Soberana do Brasil</w:t>
            </w:r>
          </w:p>
        </w:tc>
        <w:tc>
          <w:tcPr>
            <w:tcW w:w="2977" w:type="dxa"/>
            <w:gridSpan w:val="2"/>
            <w:tcBorders>
              <w:top w:val="single" w:sz="4" w:space="0" w:color="auto"/>
              <w:left w:val="nil"/>
              <w:bottom w:val="dotted" w:sz="4" w:space="0" w:color="auto"/>
              <w:right w:val="nil"/>
            </w:tcBorders>
            <w:shd w:val="clear" w:color="auto" w:fill="auto"/>
            <w:noWrap/>
            <w:vAlign w:val="bottom"/>
            <w:hideMark/>
          </w:tcPr>
          <w:p w:rsidR="005A1BDF" w:rsidRPr="007F3363" w:rsidRDefault="005A1BDF"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BB</w:t>
            </w:r>
            <w:r w:rsidR="00A23543" w:rsidRPr="007F3363">
              <w:rPr>
                <w:rFonts w:asciiTheme="minorHAnsi" w:eastAsia="Times New Roman" w:hAnsiTheme="minorHAnsi" w:cs="Times New Roman"/>
                <w:lang w:eastAsia="en-US"/>
              </w:rPr>
              <w:t>-</w:t>
            </w:r>
          </w:p>
        </w:tc>
        <w:tc>
          <w:tcPr>
            <w:tcW w:w="2126" w:type="dxa"/>
            <w:tcBorders>
              <w:top w:val="single" w:sz="4" w:space="0" w:color="auto"/>
              <w:left w:val="nil"/>
              <w:bottom w:val="dotted" w:sz="4" w:space="0" w:color="auto"/>
              <w:right w:val="nil"/>
            </w:tcBorders>
            <w:shd w:val="clear" w:color="auto" w:fill="auto"/>
            <w:noWrap/>
            <w:vAlign w:val="bottom"/>
            <w:hideMark/>
          </w:tcPr>
          <w:p w:rsidR="005A1BDF" w:rsidRPr="007F3363" w:rsidRDefault="005A1BDF"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0</w:t>
            </w:r>
            <w:r w:rsidR="00A23543" w:rsidRPr="007F3363">
              <w:rPr>
                <w:rFonts w:asciiTheme="minorHAnsi" w:eastAsia="Times New Roman" w:hAnsiTheme="minorHAnsi" w:cs="Times New Roman"/>
                <w:lang w:eastAsia="en-US"/>
              </w:rPr>
              <w:t>2</w:t>
            </w:r>
            <w:r w:rsidRPr="007F3363">
              <w:rPr>
                <w:rFonts w:asciiTheme="minorHAnsi" w:eastAsia="Times New Roman" w:hAnsiTheme="minorHAnsi" w:cs="Times New Roman"/>
                <w:lang w:eastAsia="en-US"/>
              </w:rPr>
              <w:t>/1</w:t>
            </w:r>
            <w:r w:rsidR="00A23543" w:rsidRPr="007F3363">
              <w:rPr>
                <w:rFonts w:asciiTheme="minorHAnsi" w:eastAsia="Times New Roman" w:hAnsiTheme="minorHAnsi" w:cs="Times New Roman"/>
                <w:lang w:eastAsia="en-US"/>
              </w:rPr>
              <w:t>8</w:t>
            </w:r>
          </w:p>
        </w:tc>
        <w:tc>
          <w:tcPr>
            <w:tcW w:w="1843" w:type="dxa"/>
            <w:tcBorders>
              <w:top w:val="single" w:sz="4" w:space="0" w:color="auto"/>
              <w:left w:val="nil"/>
              <w:bottom w:val="dotted" w:sz="4" w:space="0" w:color="auto"/>
              <w:right w:val="nil"/>
            </w:tcBorders>
            <w:shd w:val="clear" w:color="auto" w:fill="auto"/>
            <w:noWrap/>
            <w:vAlign w:val="bottom"/>
            <w:hideMark/>
          </w:tcPr>
          <w:p w:rsidR="005A1BDF" w:rsidRPr="007F3363" w:rsidRDefault="00BD2B87"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Estável</w:t>
            </w:r>
          </w:p>
        </w:tc>
      </w:tr>
      <w:tr w:rsidR="005A1BDF" w:rsidRPr="007F3363" w:rsidTr="004D048E">
        <w:trPr>
          <w:trHeight w:val="300"/>
        </w:trPr>
        <w:tc>
          <w:tcPr>
            <w:tcW w:w="3134" w:type="dxa"/>
            <w:tcBorders>
              <w:top w:val="dotted" w:sz="4" w:space="0" w:color="auto"/>
              <w:left w:val="nil"/>
              <w:bottom w:val="dotted" w:sz="4" w:space="0" w:color="auto"/>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Banco do Estado do RS S.A.</w:t>
            </w:r>
          </w:p>
        </w:tc>
        <w:tc>
          <w:tcPr>
            <w:tcW w:w="2977" w:type="dxa"/>
            <w:gridSpan w:val="2"/>
            <w:tcBorders>
              <w:top w:val="dotted" w:sz="4" w:space="0" w:color="auto"/>
              <w:left w:val="nil"/>
              <w:bottom w:val="dotted" w:sz="4" w:space="0" w:color="auto"/>
              <w:right w:val="nil"/>
            </w:tcBorders>
            <w:shd w:val="clear" w:color="auto" w:fill="auto"/>
            <w:noWrap/>
            <w:vAlign w:val="bottom"/>
            <w:hideMark/>
          </w:tcPr>
          <w:p w:rsidR="005A1BDF" w:rsidRPr="007F3363" w:rsidRDefault="005A1BDF"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BB-</w:t>
            </w:r>
          </w:p>
        </w:tc>
        <w:tc>
          <w:tcPr>
            <w:tcW w:w="2126" w:type="dxa"/>
            <w:tcBorders>
              <w:top w:val="dotted" w:sz="4" w:space="0" w:color="auto"/>
              <w:left w:val="nil"/>
              <w:bottom w:val="dotted" w:sz="4" w:space="0" w:color="auto"/>
              <w:right w:val="nil"/>
            </w:tcBorders>
            <w:shd w:val="clear" w:color="auto" w:fill="auto"/>
            <w:noWrap/>
            <w:vAlign w:val="bottom"/>
            <w:hideMark/>
          </w:tcPr>
          <w:p w:rsidR="005A1BDF" w:rsidRPr="007F3363" w:rsidRDefault="007811A0"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0</w:t>
            </w:r>
            <w:r w:rsidR="00A23543" w:rsidRPr="007F3363">
              <w:rPr>
                <w:rFonts w:asciiTheme="minorHAnsi" w:eastAsia="Times New Roman" w:hAnsiTheme="minorHAnsi" w:cs="Times New Roman"/>
                <w:lang w:eastAsia="en-US"/>
              </w:rPr>
              <w:t>4</w:t>
            </w:r>
            <w:r w:rsidRPr="007F3363">
              <w:rPr>
                <w:rFonts w:asciiTheme="minorHAnsi" w:eastAsia="Times New Roman" w:hAnsiTheme="minorHAnsi" w:cs="Times New Roman"/>
                <w:lang w:eastAsia="en-US"/>
              </w:rPr>
              <w:t>/1</w:t>
            </w:r>
            <w:r w:rsidR="00A23543" w:rsidRPr="007F3363">
              <w:rPr>
                <w:rFonts w:asciiTheme="minorHAnsi" w:eastAsia="Times New Roman" w:hAnsiTheme="minorHAnsi" w:cs="Times New Roman"/>
                <w:lang w:eastAsia="en-US"/>
              </w:rPr>
              <w:t>8</w:t>
            </w:r>
          </w:p>
        </w:tc>
        <w:tc>
          <w:tcPr>
            <w:tcW w:w="1843" w:type="dxa"/>
            <w:tcBorders>
              <w:top w:val="dotted" w:sz="4" w:space="0" w:color="auto"/>
              <w:left w:val="nil"/>
              <w:bottom w:val="dotted" w:sz="4" w:space="0" w:color="auto"/>
              <w:right w:val="nil"/>
            </w:tcBorders>
            <w:shd w:val="clear" w:color="auto" w:fill="auto"/>
            <w:noWrap/>
            <w:vAlign w:val="bottom"/>
            <w:hideMark/>
          </w:tcPr>
          <w:p w:rsidR="005A1BDF" w:rsidRPr="007F3363" w:rsidRDefault="00A23543"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Estável</w:t>
            </w:r>
          </w:p>
        </w:tc>
      </w:tr>
      <w:tr w:rsidR="005A1BDF" w:rsidRPr="007F3363" w:rsidTr="003B394E">
        <w:trPr>
          <w:trHeight w:val="300"/>
        </w:trPr>
        <w:tc>
          <w:tcPr>
            <w:tcW w:w="3134" w:type="dxa"/>
            <w:tcBorders>
              <w:top w:val="dotted" w:sz="4" w:space="0" w:color="auto"/>
              <w:left w:val="nil"/>
              <w:bottom w:val="dotted" w:sz="4" w:space="0" w:color="auto"/>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Banco do Brasil S.A.</w:t>
            </w:r>
          </w:p>
        </w:tc>
        <w:tc>
          <w:tcPr>
            <w:tcW w:w="2977" w:type="dxa"/>
            <w:gridSpan w:val="2"/>
            <w:tcBorders>
              <w:top w:val="dotted" w:sz="4" w:space="0" w:color="auto"/>
              <w:left w:val="nil"/>
              <w:bottom w:val="dotted" w:sz="4" w:space="0" w:color="auto"/>
              <w:right w:val="nil"/>
            </w:tcBorders>
            <w:shd w:val="clear" w:color="auto" w:fill="auto"/>
            <w:noWrap/>
            <w:vAlign w:val="bottom"/>
            <w:hideMark/>
          </w:tcPr>
          <w:p w:rsidR="005A1BDF" w:rsidRPr="007F3363" w:rsidRDefault="005A1BDF"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BB</w:t>
            </w:r>
            <w:r w:rsidR="00A23543" w:rsidRPr="007F3363">
              <w:rPr>
                <w:rFonts w:asciiTheme="minorHAnsi" w:eastAsia="Times New Roman" w:hAnsiTheme="minorHAnsi" w:cs="Times New Roman"/>
                <w:lang w:eastAsia="en-US"/>
              </w:rPr>
              <w:t>-</w:t>
            </w:r>
          </w:p>
        </w:tc>
        <w:tc>
          <w:tcPr>
            <w:tcW w:w="2126" w:type="dxa"/>
            <w:tcBorders>
              <w:top w:val="dotted" w:sz="4" w:space="0" w:color="auto"/>
              <w:left w:val="nil"/>
              <w:bottom w:val="dotted" w:sz="4" w:space="0" w:color="auto"/>
              <w:right w:val="nil"/>
            </w:tcBorders>
            <w:shd w:val="clear" w:color="auto" w:fill="auto"/>
            <w:noWrap/>
            <w:vAlign w:val="bottom"/>
            <w:hideMark/>
          </w:tcPr>
          <w:p w:rsidR="005A1BDF" w:rsidRPr="007F3363" w:rsidRDefault="00342F97" w:rsidP="00A23543">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0</w:t>
            </w:r>
            <w:r w:rsidR="00A23543" w:rsidRPr="007F3363">
              <w:rPr>
                <w:rFonts w:asciiTheme="minorHAnsi" w:eastAsia="Times New Roman" w:hAnsiTheme="minorHAnsi" w:cs="Times New Roman"/>
                <w:lang w:eastAsia="en-US"/>
              </w:rPr>
              <w:t>4</w:t>
            </w:r>
            <w:r w:rsidRPr="007F3363">
              <w:rPr>
                <w:rFonts w:asciiTheme="minorHAnsi" w:eastAsia="Times New Roman" w:hAnsiTheme="minorHAnsi" w:cs="Times New Roman"/>
                <w:lang w:eastAsia="en-US"/>
              </w:rPr>
              <w:t>/1</w:t>
            </w:r>
            <w:r w:rsidR="00A23543" w:rsidRPr="007F3363">
              <w:rPr>
                <w:rFonts w:asciiTheme="minorHAnsi" w:eastAsia="Times New Roman" w:hAnsiTheme="minorHAnsi" w:cs="Times New Roman"/>
                <w:lang w:eastAsia="en-US"/>
              </w:rPr>
              <w:t>8</w:t>
            </w:r>
          </w:p>
        </w:tc>
        <w:tc>
          <w:tcPr>
            <w:tcW w:w="1843" w:type="dxa"/>
            <w:tcBorders>
              <w:top w:val="dotted" w:sz="4" w:space="0" w:color="auto"/>
              <w:left w:val="nil"/>
              <w:bottom w:val="dotted" w:sz="4" w:space="0" w:color="auto"/>
              <w:right w:val="nil"/>
            </w:tcBorders>
            <w:shd w:val="clear" w:color="auto" w:fill="auto"/>
            <w:noWrap/>
            <w:vAlign w:val="bottom"/>
            <w:hideMark/>
          </w:tcPr>
          <w:p w:rsidR="005A1BDF" w:rsidRPr="007F3363" w:rsidRDefault="00A23543"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Estável</w:t>
            </w:r>
          </w:p>
        </w:tc>
      </w:tr>
      <w:tr w:rsidR="005A1BDF" w:rsidRPr="007F3363" w:rsidTr="003B394E">
        <w:trPr>
          <w:trHeight w:val="300"/>
        </w:trPr>
        <w:tc>
          <w:tcPr>
            <w:tcW w:w="3134" w:type="dxa"/>
            <w:tcBorders>
              <w:top w:val="dotted" w:sz="4" w:space="0" w:color="auto"/>
              <w:left w:val="nil"/>
              <w:bottom w:val="single" w:sz="4" w:space="0" w:color="auto"/>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Caixa Econômica Federal</w:t>
            </w:r>
          </w:p>
        </w:tc>
        <w:tc>
          <w:tcPr>
            <w:tcW w:w="2977" w:type="dxa"/>
            <w:gridSpan w:val="2"/>
            <w:tcBorders>
              <w:top w:val="dotted" w:sz="4" w:space="0" w:color="auto"/>
              <w:left w:val="nil"/>
              <w:bottom w:val="single" w:sz="4" w:space="0" w:color="auto"/>
              <w:right w:val="nil"/>
            </w:tcBorders>
            <w:shd w:val="clear" w:color="auto" w:fill="auto"/>
            <w:noWrap/>
            <w:vAlign w:val="bottom"/>
            <w:hideMark/>
          </w:tcPr>
          <w:p w:rsidR="005A1BDF" w:rsidRPr="007F3363" w:rsidRDefault="005A1BDF"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BB</w:t>
            </w:r>
            <w:r w:rsidR="00B22309" w:rsidRPr="007F3363">
              <w:rPr>
                <w:rFonts w:asciiTheme="minorHAnsi" w:eastAsia="Times New Roman" w:hAnsiTheme="minorHAnsi" w:cs="Times New Roman"/>
                <w:lang w:eastAsia="en-US"/>
              </w:rPr>
              <w:t>-</w:t>
            </w:r>
          </w:p>
        </w:tc>
        <w:tc>
          <w:tcPr>
            <w:tcW w:w="2126" w:type="dxa"/>
            <w:tcBorders>
              <w:top w:val="dotted" w:sz="4" w:space="0" w:color="auto"/>
              <w:left w:val="nil"/>
              <w:bottom w:val="single" w:sz="4" w:space="0" w:color="auto"/>
              <w:right w:val="nil"/>
            </w:tcBorders>
            <w:shd w:val="clear" w:color="auto" w:fill="auto"/>
            <w:noWrap/>
            <w:vAlign w:val="bottom"/>
            <w:hideMark/>
          </w:tcPr>
          <w:p w:rsidR="005A1BDF" w:rsidRPr="007F3363" w:rsidRDefault="007811A0"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0</w:t>
            </w:r>
            <w:r w:rsidR="00B22309" w:rsidRPr="007F3363">
              <w:rPr>
                <w:rFonts w:asciiTheme="minorHAnsi" w:eastAsia="Times New Roman" w:hAnsiTheme="minorHAnsi" w:cs="Times New Roman"/>
                <w:lang w:eastAsia="en-US"/>
              </w:rPr>
              <w:t>4</w:t>
            </w:r>
            <w:r w:rsidRPr="007F3363">
              <w:rPr>
                <w:rFonts w:asciiTheme="minorHAnsi" w:eastAsia="Times New Roman" w:hAnsiTheme="minorHAnsi" w:cs="Times New Roman"/>
                <w:lang w:eastAsia="en-US"/>
              </w:rPr>
              <w:t>/1</w:t>
            </w:r>
            <w:r w:rsidR="00B22309" w:rsidRPr="007F3363">
              <w:rPr>
                <w:rFonts w:asciiTheme="minorHAnsi" w:eastAsia="Times New Roman" w:hAnsiTheme="minorHAnsi" w:cs="Times New Roman"/>
                <w:lang w:eastAsia="en-US"/>
              </w:rPr>
              <w:t>8</w:t>
            </w:r>
          </w:p>
        </w:tc>
        <w:tc>
          <w:tcPr>
            <w:tcW w:w="1843" w:type="dxa"/>
            <w:tcBorders>
              <w:top w:val="dotted" w:sz="4" w:space="0" w:color="auto"/>
              <w:left w:val="nil"/>
              <w:bottom w:val="single" w:sz="4" w:space="0" w:color="auto"/>
              <w:right w:val="nil"/>
            </w:tcBorders>
            <w:shd w:val="clear" w:color="auto" w:fill="auto"/>
            <w:noWrap/>
            <w:vAlign w:val="bottom"/>
            <w:hideMark/>
          </w:tcPr>
          <w:p w:rsidR="005A1BDF" w:rsidRPr="007F3363" w:rsidRDefault="00B22309"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Estável</w:t>
            </w:r>
          </w:p>
        </w:tc>
      </w:tr>
      <w:tr w:rsidR="005A1BDF" w:rsidRPr="007F3363" w:rsidTr="003B394E">
        <w:trPr>
          <w:trHeight w:val="300"/>
        </w:trPr>
        <w:tc>
          <w:tcPr>
            <w:tcW w:w="3134" w:type="dxa"/>
            <w:tcBorders>
              <w:top w:val="single" w:sz="4" w:space="0" w:color="auto"/>
              <w:left w:val="nil"/>
              <w:bottom w:val="single" w:sz="4" w:space="0" w:color="auto"/>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b/>
                <w:bCs/>
                <w:lang w:eastAsia="en-US"/>
              </w:rPr>
            </w:pPr>
          </w:p>
        </w:tc>
        <w:tc>
          <w:tcPr>
            <w:tcW w:w="2977" w:type="dxa"/>
            <w:gridSpan w:val="2"/>
            <w:tcBorders>
              <w:top w:val="single" w:sz="4" w:space="0" w:color="auto"/>
              <w:left w:val="nil"/>
              <w:bottom w:val="single" w:sz="4" w:space="0" w:color="auto"/>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lang w:eastAsia="en-US"/>
              </w:rPr>
            </w:pPr>
          </w:p>
        </w:tc>
        <w:tc>
          <w:tcPr>
            <w:tcW w:w="2126" w:type="dxa"/>
            <w:tcBorders>
              <w:top w:val="single" w:sz="4" w:space="0" w:color="auto"/>
              <w:left w:val="nil"/>
              <w:bottom w:val="single" w:sz="4" w:space="0" w:color="auto"/>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lang w:eastAsia="en-US"/>
              </w:rPr>
            </w:pPr>
          </w:p>
        </w:tc>
        <w:tc>
          <w:tcPr>
            <w:tcW w:w="1843" w:type="dxa"/>
            <w:tcBorders>
              <w:top w:val="single" w:sz="4" w:space="0" w:color="auto"/>
              <w:left w:val="nil"/>
              <w:bottom w:val="single" w:sz="4" w:space="0" w:color="auto"/>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lang w:eastAsia="en-US"/>
              </w:rPr>
            </w:pPr>
          </w:p>
        </w:tc>
      </w:tr>
      <w:tr w:rsidR="005A1BDF" w:rsidRPr="007F3363" w:rsidTr="003B394E">
        <w:trPr>
          <w:trHeight w:val="303"/>
        </w:trPr>
        <w:tc>
          <w:tcPr>
            <w:tcW w:w="3134" w:type="dxa"/>
            <w:tcBorders>
              <w:top w:val="single" w:sz="4" w:space="0" w:color="auto"/>
              <w:left w:val="nil"/>
              <w:bottom w:val="single" w:sz="4" w:space="0" w:color="auto"/>
              <w:right w:val="nil"/>
            </w:tcBorders>
            <w:shd w:val="clear" w:color="000000" w:fill="F2F2F2"/>
            <w:noWrap/>
            <w:vAlign w:val="center"/>
            <w:hideMark/>
          </w:tcPr>
          <w:p w:rsidR="005A1BDF" w:rsidRPr="007F3363" w:rsidRDefault="005A1BDF" w:rsidP="00CD207C">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Fitch</w:t>
            </w:r>
          </w:p>
        </w:tc>
        <w:tc>
          <w:tcPr>
            <w:tcW w:w="2977" w:type="dxa"/>
            <w:gridSpan w:val="2"/>
            <w:tcBorders>
              <w:top w:val="single" w:sz="4" w:space="0" w:color="auto"/>
              <w:left w:val="nil"/>
              <w:bottom w:val="single" w:sz="4" w:space="0" w:color="auto"/>
              <w:right w:val="nil"/>
            </w:tcBorders>
            <w:shd w:val="clear" w:color="000000" w:fill="F2F2F2"/>
            <w:vAlign w:val="center"/>
            <w:hideMark/>
          </w:tcPr>
          <w:p w:rsidR="005A1BDF" w:rsidRPr="007F3363" w:rsidRDefault="005A1BDF" w:rsidP="00CD207C">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Nota Moeda Estrangeira LP</w:t>
            </w:r>
          </w:p>
        </w:tc>
        <w:tc>
          <w:tcPr>
            <w:tcW w:w="2126" w:type="dxa"/>
            <w:tcBorders>
              <w:top w:val="single" w:sz="4" w:space="0" w:color="auto"/>
              <w:left w:val="nil"/>
              <w:bottom w:val="single" w:sz="4" w:space="0" w:color="auto"/>
              <w:right w:val="nil"/>
            </w:tcBorders>
            <w:shd w:val="clear" w:color="000000" w:fill="F2F2F2"/>
            <w:noWrap/>
            <w:vAlign w:val="center"/>
            <w:hideMark/>
          </w:tcPr>
          <w:p w:rsidR="005A1BDF" w:rsidRPr="007F3363" w:rsidRDefault="005A1BDF" w:rsidP="00CD207C">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Data</w:t>
            </w:r>
          </w:p>
        </w:tc>
        <w:tc>
          <w:tcPr>
            <w:tcW w:w="1843" w:type="dxa"/>
            <w:tcBorders>
              <w:top w:val="single" w:sz="4" w:space="0" w:color="auto"/>
              <w:left w:val="nil"/>
              <w:bottom w:val="single" w:sz="4" w:space="0" w:color="auto"/>
              <w:right w:val="nil"/>
            </w:tcBorders>
            <w:shd w:val="clear" w:color="000000" w:fill="F2F2F2"/>
            <w:noWrap/>
            <w:vAlign w:val="center"/>
            <w:hideMark/>
          </w:tcPr>
          <w:p w:rsidR="005A1BDF" w:rsidRPr="007F3363" w:rsidRDefault="005A1BDF" w:rsidP="00CD207C">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Perspectiva</w:t>
            </w:r>
          </w:p>
        </w:tc>
      </w:tr>
      <w:tr w:rsidR="005A1BDF" w:rsidRPr="007F3363" w:rsidTr="003B394E">
        <w:trPr>
          <w:trHeight w:val="300"/>
        </w:trPr>
        <w:tc>
          <w:tcPr>
            <w:tcW w:w="3134" w:type="dxa"/>
            <w:tcBorders>
              <w:top w:val="single" w:sz="4" w:space="0" w:color="auto"/>
              <w:left w:val="nil"/>
              <w:bottom w:val="dotted" w:sz="4" w:space="0" w:color="auto"/>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Nota Soberana do Brasil</w:t>
            </w:r>
          </w:p>
        </w:tc>
        <w:tc>
          <w:tcPr>
            <w:tcW w:w="2977" w:type="dxa"/>
            <w:gridSpan w:val="2"/>
            <w:tcBorders>
              <w:top w:val="single" w:sz="4" w:space="0" w:color="auto"/>
              <w:left w:val="nil"/>
              <w:bottom w:val="dotted" w:sz="4" w:space="0" w:color="auto"/>
              <w:right w:val="nil"/>
            </w:tcBorders>
            <w:shd w:val="clear" w:color="auto" w:fill="auto"/>
            <w:noWrap/>
            <w:vAlign w:val="bottom"/>
            <w:hideMark/>
          </w:tcPr>
          <w:p w:rsidR="005A1BDF" w:rsidRPr="007F3363" w:rsidRDefault="005A1BDF"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BB</w:t>
            </w:r>
            <w:r w:rsidR="00720EFC" w:rsidRPr="007F3363">
              <w:rPr>
                <w:rFonts w:asciiTheme="minorHAnsi" w:eastAsia="Times New Roman" w:hAnsiTheme="minorHAnsi" w:cs="Times New Roman"/>
                <w:lang w:eastAsia="en-US"/>
              </w:rPr>
              <w:t>-</w:t>
            </w:r>
          </w:p>
        </w:tc>
        <w:tc>
          <w:tcPr>
            <w:tcW w:w="2126" w:type="dxa"/>
            <w:tcBorders>
              <w:top w:val="single" w:sz="4" w:space="0" w:color="auto"/>
              <w:left w:val="nil"/>
              <w:bottom w:val="dotted" w:sz="4" w:space="0" w:color="auto"/>
              <w:right w:val="nil"/>
            </w:tcBorders>
            <w:shd w:val="clear" w:color="auto" w:fill="auto"/>
            <w:noWrap/>
            <w:vAlign w:val="bottom"/>
            <w:hideMark/>
          </w:tcPr>
          <w:p w:rsidR="005A1BDF" w:rsidRPr="007F3363" w:rsidRDefault="005A1BDF"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0</w:t>
            </w:r>
            <w:r w:rsidR="00720EFC" w:rsidRPr="007F3363">
              <w:rPr>
                <w:rFonts w:asciiTheme="minorHAnsi" w:eastAsia="Times New Roman" w:hAnsiTheme="minorHAnsi" w:cs="Times New Roman"/>
                <w:lang w:eastAsia="en-US"/>
              </w:rPr>
              <w:t>8</w:t>
            </w:r>
            <w:r w:rsidRPr="007F3363">
              <w:rPr>
                <w:rFonts w:asciiTheme="minorHAnsi" w:eastAsia="Times New Roman" w:hAnsiTheme="minorHAnsi" w:cs="Times New Roman"/>
                <w:lang w:eastAsia="en-US"/>
              </w:rPr>
              <w:t>/1</w:t>
            </w:r>
            <w:r w:rsidR="00720EFC" w:rsidRPr="007F3363">
              <w:rPr>
                <w:rFonts w:asciiTheme="minorHAnsi" w:eastAsia="Times New Roman" w:hAnsiTheme="minorHAnsi" w:cs="Times New Roman"/>
                <w:lang w:eastAsia="en-US"/>
              </w:rPr>
              <w:t>8</w:t>
            </w:r>
          </w:p>
        </w:tc>
        <w:tc>
          <w:tcPr>
            <w:tcW w:w="1843" w:type="dxa"/>
            <w:tcBorders>
              <w:top w:val="single" w:sz="4" w:space="0" w:color="auto"/>
              <w:left w:val="nil"/>
              <w:bottom w:val="dotted" w:sz="4" w:space="0" w:color="auto"/>
              <w:right w:val="nil"/>
            </w:tcBorders>
            <w:shd w:val="clear" w:color="auto" w:fill="auto"/>
            <w:noWrap/>
            <w:vAlign w:val="bottom"/>
            <w:hideMark/>
          </w:tcPr>
          <w:p w:rsidR="005A1BDF" w:rsidRPr="007F3363" w:rsidRDefault="00720EFC"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Estável</w:t>
            </w:r>
          </w:p>
        </w:tc>
      </w:tr>
      <w:tr w:rsidR="005A1BDF" w:rsidRPr="007F3363" w:rsidTr="004D048E">
        <w:trPr>
          <w:trHeight w:val="300"/>
        </w:trPr>
        <w:tc>
          <w:tcPr>
            <w:tcW w:w="3134" w:type="dxa"/>
            <w:tcBorders>
              <w:top w:val="dotted" w:sz="4" w:space="0" w:color="auto"/>
              <w:left w:val="nil"/>
              <w:bottom w:val="dotted" w:sz="4" w:space="0" w:color="auto"/>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Banco do Estado do RS S.A.</w:t>
            </w:r>
          </w:p>
        </w:tc>
        <w:tc>
          <w:tcPr>
            <w:tcW w:w="2977" w:type="dxa"/>
            <w:gridSpan w:val="2"/>
            <w:tcBorders>
              <w:top w:val="dotted" w:sz="4" w:space="0" w:color="auto"/>
              <w:left w:val="nil"/>
              <w:bottom w:val="dotted" w:sz="4" w:space="0" w:color="auto"/>
              <w:right w:val="nil"/>
            </w:tcBorders>
            <w:shd w:val="clear" w:color="auto" w:fill="auto"/>
            <w:noWrap/>
            <w:vAlign w:val="bottom"/>
            <w:hideMark/>
          </w:tcPr>
          <w:p w:rsidR="005A1BDF" w:rsidRPr="007F3363" w:rsidRDefault="00BD2B87"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B+</w:t>
            </w:r>
          </w:p>
        </w:tc>
        <w:tc>
          <w:tcPr>
            <w:tcW w:w="2126" w:type="dxa"/>
            <w:tcBorders>
              <w:top w:val="dotted" w:sz="4" w:space="0" w:color="auto"/>
              <w:left w:val="nil"/>
              <w:bottom w:val="dotted" w:sz="4" w:space="0" w:color="auto"/>
              <w:right w:val="nil"/>
            </w:tcBorders>
            <w:shd w:val="clear" w:color="auto" w:fill="auto"/>
            <w:noWrap/>
            <w:vAlign w:val="bottom"/>
            <w:hideMark/>
          </w:tcPr>
          <w:p w:rsidR="005A1BDF" w:rsidRPr="007F3363" w:rsidRDefault="005A1BDF"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0</w:t>
            </w:r>
            <w:r w:rsidR="00342F97" w:rsidRPr="007F3363">
              <w:rPr>
                <w:rFonts w:asciiTheme="minorHAnsi" w:eastAsia="Times New Roman" w:hAnsiTheme="minorHAnsi" w:cs="Times New Roman"/>
                <w:lang w:eastAsia="en-US"/>
              </w:rPr>
              <w:t>6</w:t>
            </w:r>
            <w:r w:rsidRPr="007F3363">
              <w:rPr>
                <w:rFonts w:asciiTheme="minorHAnsi" w:eastAsia="Times New Roman" w:hAnsiTheme="minorHAnsi" w:cs="Times New Roman"/>
                <w:lang w:eastAsia="en-US"/>
              </w:rPr>
              <w:t>/1</w:t>
            </w:r>
            <w:r w:rsidR="00FC2446" w:rsidRPr="007F3363">
              <w:rPr>
                <w:rFonts w:asciiTheme="minorHAnsi" w:eastAsia="Times New Roman" w:hAnsiTheme="minorHAnsi" w:cs="Times New Roman"/>
                <w:lang w:eastAsia="en-US"/>
              </w:rPr>
              <w:t>8</w:t>
            </w:r>
          </w:p>
        </w:tc>
        <w:tc>
          <w:tcPr>
            <w:tcW w:w="1843" w:type="dxa"/>
            <w:tcBorders>
              <w:top w:val="dotted" w:sz="4" w:space="0" w:color="auto"/>
              <w:left w:val="nil"/>
              <w:bottom w:val="dotted" w:sz="4" w:space="0" w:color="auto"/>
              <w:right w:val="nil"/>
            </w:tcBorders>
            <w:shd w:val="clear" w:color="auto" w:fill="auto"/>
            <w:noWrap/>
            <w:vAlign w:val="bottom"/>
            <w:hideMark/>
          </w:tcPr>
          <w:p w:rsidR="005A1BDF" w:rsidRPr="007F3363" w:rsidRDefault="00342F97"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Estável</w:t>
            </w:r>
          </w:p>
        </w:tc>
      </w:tr>
      <w:tr w:rsidR="005A1BDF" w:rsidRPr="007F3363" w:rsidTr="003B394E">
        <w:trPr>
          <w:trHeight w:val="300"/>
        </w:trPr>
        <w:tc>
          <w:tcPr>
            <w:tcW w:w="3134" w:type="dxa"/>
            <w:tcBorders>
              <w:top w:val="dotted" w:sz="4" w:space="0" w:color="auto"/>
              <w:left w:val="nil"/>
              <w:bottom w:val="dotted" w:sz="4" w:space="0" w:color="auto"/>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Banco do Brasil S.A.</w:t>
            </w:r>
          </w:p>
        </w:tc>
        <w:tc>
          <w:tcPr>
            <w:tcW w:w="2977" w:type="dxa"/>
            <w:gridSpan w:val="2"/>
            <w:tcBorders>
              <w:top w:val="dotted" w:sz="4" w:space="0" w:color="auto"/>
              <w:left w:val="nil"/>
              <w:bottom w:val="dotted" w:sz="4" w:space="0" w:color="auto"/>
              <w:right w:val="nil"/>
            </w:tcBorders>
            <w:shd w:val="clear" w:color="auto" w:fill="auto"/>
            <w:noWrap/>
            <w:vAlign w:val="bottom"/>
            <w:hideMark/>
          </w:tcPr>
          <w:p w:rsidR="005A1BDF" w:rsidRPr="007F3363" w:rsidRDefault="005A1BDF"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BB</w:t>
            </w:r>
            <w:r w:rsidR="00FC2446" w:rsidRPr="007F3363">
              <w:rPr>
                <w:rFonts w:asciiTheme="minorHAnsi" w:eastAsia="Times New Roman" w:hAnsiTheme="minorHAnsi" w:cs="Times New Roman"/>
                <w:lang w:eastAsia="en-US"/>
              </w:rPr>
              <w:t>-</w:t>
            </w:r>
          </w:p>
        </w:tc>
        <w:tc>
          <w:tcPr>
            <w:tcW w:w="2126" w:type="dxa"/>
            <w:tcBorders>
              <w:top w:val="dotted" w:sz="4" w:space="0" w:color="auto"/>
              <w:left w:val="nil"/>
              <w:bottom w:val="dotted" w:sz="4" w:space="0" w:color="auto"/>
              <w:right w:val="nil"/>
            </w:tcBorders>
            <w:shd w:val="clear" w:color="auto" w:fill="auto"/>
            <w:noWrap/>
            <w:vAlign w:val="bottom"/>
            <w:hideMark/>
          </w:tcPr>
          <w:p w:rsidR="005A1BDF" w:rsidRPr="007F3363" w:rsidRDefault="00342F97"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06/1</w:t>
            </w:r>
            <w:r w:rsidR="00FC2446" w:rsidRPr="007F3363">
              <w:rPr>
                <w:rFonts w:asciiTheme="minorHAnsi" w:eastAsia="Times New Roman" w:hAnsiTheme="minorHAnsi" w:cs="Times New Roman"/>
                <w:lang w:eastAsia="en-US"/>
              </w:rPr>
              <w:t>8</w:t>
            </w:r>
          </w:p>
        </w:tc>
        <w:tc>
          <w:tcPr>
            <w:tcW w:w="1843" w:type="dxa"/>
            <w:tcBorders>
              <w:top w:val="dotted" w:sz="4" w:space="0" w:color="auto"/>
              <w:left w:val="nil"/>
              <w:bottom w:val="dotted" w:sz="4" w:space="0" w:color="auto"/>
              <w:right w:val="nil"/>
            </w:tcBorders>
            <w:shd w:val="clear" w:color="auto" w:fill="auto"/>
            <w:noWrap/>
            <w:vAlign w:val="bottom"/>
            <w:hideMark/>
          </w:tcPr>
          <w:p w:rsidR="005A1BDF" w:rsidRPr="007F3363" w:rsidRDefault="00FC2446"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Estável</w:t>
            </w:r>
          </w:p>
        </w:tc>
      </w:tr>
      <w:tr w:rsidR="005A1BDF" w:rsidRPr="007F3363" w:rsidTr="003B394E">
        <w:trPr>
          <w:trHeight w:val="300"/>
        </w:trPr>
        <w:tc>
          <w:tcPr>
            <w:tcW w:w="3134" w:type="dxa"/>
            <w:tcBorders>
              <w:top w:val="dotted" w:sz="4" w:space="0" w:color="auto"/>
              <w:left w:val="nil"/>
              <w:bottom w:val="single" w:sz="4" w:space="0" w:color="auto"/>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Caixa Econômica Federal</w:t>
            </w:r>
          </w:p>
        </w:tc>
        <w:tc>
          <w:tcPr>
            <w:tcW w:w="2977" w:type="dxa"/>
            <w:gridSpan w:val="2"/>
            <w:tcBorders>
              <w:top w:val="dotted" w:sz="4" w:space="0" w:color="auto"/>
              <w:left w:val="nil"/>
              <w:bottom w:val="single" w:sz="4" w:space="0" w:color="auto"/>
              <w:right w:val="nil"/>
            </w:tcBorders>
            <w:shd w:val="clear" w:color="auto" w:fill="auto"/>
            <w:noWrap/>
            <w:vAlign w:val="bottom"/>
            <w:hideMark/>
          </w:tcPr>
          <w:p w:rsidR="005A1BDF" w:rsidRPr="007F3363" w:rsidRDefault="005A1BDF"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BB</w:t>
            </w:r>
            <w:r w:rsidR="005413BC" w:rsidRPr="007F3363">
              <w:rPr>
                <w:rFonts w:asciiTheme="minorHAnsi" w:eastAsia="Times New Roman" w:hAnsiTheme="minorHAnsi" w:cs="Times New Roman"/>
                <w:lang w:eastAsia="en-US"/>
              </w:rPr>
              <w:t>-</w:t>
            </w:r>
          </w:p>
        </w:tc>
        <w:tc>
          <w:tcPr>
            <w:tcW w:w="2126" w:type="dxa"/>
            <w:tcBorders>
              <w:top w:val="dotted" w:sz="4" w:space="0" w:color="auto"/>
              <w:left w:val="nil"/>
              <w:bottom w:val="single" w:sz="4" w:space="0" w:color="auto"/>
              <w:right w:val="nil"/>
            </w:tcBorders>
            <w:shd w:val="clear" w:color="auto" w:fill="auto"/>
            <w:noWrap/>
            <w:vAlign w:val="bottom"/>
            <w:hideMark/>
          </w:tcPr>
          <w:p w:rsidR="005A1BDF" w:rsidRPr="007F3363" w:rsidRDefault="00342F97"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06/1</w:t>
            </w:r>
            <w:r w:rsidR="005413BC" w:rsidRPr="007F3363">
              <w:rPr>
                <w:rFonts w:asciiTheme="minorHAnsi" w:eastAsia="Times New Roman" w:hAnsiTheme="minorHAnsi" w:cs="Times New Roman"/>
                <w:lang w:eastAsia="en-US"/>
              </w:rPr>
              <w:t>8</w:t>
            </w:r>
          </w:p>
        </w:tc>
        <w:tc>
          <w:tcPr>
            <w:tcW w:w="1843" w:type="dxa"/>
            <w:tcBorders>
              <w:top w:val="dotted" w:sz="4" w:space="0" w:color="auto"/>
              <w:left w:val="nil"/>
              <w:bottom w:val="single" w:sz="4" w:space="0" w:color="auto"/>
              <w:right w:val="nil"/>
            </w:tcBorders>
            <w:shd w:val="clear" w:color="auto" w:fill="auto"/>
            <w:noWrap/>
            <w:vAlign w:val="bottom"/>
            <w:hideMark/>
          </w:tcPr>
          <w:p w:rsidR="005A1BDF" w:rsidRPr="007F3363" w:rsidRDefault="005413BC" w:rsidP="00CD207C">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Estável</w:t>
            </w:r>
          </w:p>
        </w:tc>
      </w:tr>
      <w:tr w:rsidR="005A1BDF" w:rsidRPr="007F3363" w:rsidTr="003B394E">
        <w:trPr>
          <w:trHeight w:val="300"/>
        </w:trPr>
        <w:tc>
          <w:tcPr>
            <w:tcW w:w="4126" w:type="dxa"/>
            <w:gridSpan w:val="2"/>
            <w:tcBorders>
              <w:top w:val="single" w:sz="4" w:space="0" w:color="auto"/>
              <w:left w:val="nil"/>
              <w:bottom w:val="nil"/>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lang w:eastAsia="en-US"/>
              </w:rPr>
            </w:pPr>
            <w:r w:rsidRPr="007F3363">
              <w:rPr>
                <w:rFonts w:asciiTheme="minorHAnsi" w:eastAsia="Times New Roman" w:hAnsiTheme="minorHAnsi" w:cs="Times New Roman"/>
                <w:lang w:eastAsia="en-US"/>
              </w:rPr>
              <w:t>Fonte: Site Moody's, S&amp;P e Fitch.</w:t>
            </w:r>
          </w:p>
        </w:tc>
        <w:tc>
          <w:tcPr>
            <w:tcW w:w="1985" w:type="dxa"/>
            <w:tcBorders>
              <w:top w:val="single" w:sz="4" w:space="0" w:color="auto"/>
              <w:left w:val="nil"/>
              <w:bottom w:val="nil"/>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lang w:eastAsia="en-US"/>
              </w:rPr>
            </w:pPr>
          </w:p>
        </w:tc>
        <w:tc>
          <w:tcPr>
            <w:tcW w:w="2126" w:type="dxa"/>
            <w:tcBorders>
              <w:top w:val="single" w:sz="4" w:space="0" w:color="auto"/>
              <w:left w:val="nil"/>
              <w:bottom w:val="nil"/>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lang w:eastAsia="en-US"/>
              </w:rPr>
            </w:pPr>
          </w:p>
        </w:tc>
        <w:tc>
          <w:tcPr>
            <w:tcW w:w="1843" w:type="dxa"/>
            <w:tcBorders>
              <w:top w:val="single" w:sz="4" w:space="0" w:color="auto"/>
              <w:left w:val="nil"/>
              <w:bottom w:val="nil"/>
              <w:right w:val="nil"/>
            </w:tcBorders>
            <w:shd w:val="clear" w:color="auto" w:fill="auto"/>
            <w:noWrap/>
            <w:vAlign w:val="bottom"/>
            <w:hideMark/>
          </w:tcPr>
          <w:p w:rsidR="005A1BDF" w:rsidRPr="007F3363" w:rsidRDefault="005A1BDF" w:rsidP="00CD207C">
            <w:pPr>
              <w:spacing w:after="0"/>
              <w:jc w:val="left"/>
              <w:rPr>
                <w:rFonts w:asciiTheme="minorHAnsi" w:eastAsia="Times New Roman" w:hAnsiTheme="minorHAnsi" w:cs="Times New Roman"/>
                <w:lang w:eastAsia="en-US"/>
              </w:rPr>
            </w:pPr>
          </w:p>
        </w:tc>
      </w:tr>
    </w:tbl>
    <w:p w:rsidR="00536714" w:rsidRPr="007F3363" w:rsidRDefault="00536714" w:rsidP="00CD207C">
      <w:pPr>
        <w:widowControl w:val="0"/>
        <w:autoSpaceDE w:val="0"/>
        <w:autoSpaceDN w:val="0"/>
        <w:adjustRightInd w:val="0"/>
        <w:spacing w:after="240"/>
        <w:jc w:val="center"/>
        <w:rPr>
          <w:rFonts w:asciiTheme="minorHAnsi" w:hAnsiTheme="minorHAnsi" w:cs="Times"/>
          <w:lang w:eastAsia="en-US"/>
        </w:rPr>
      </w:pPr>
    </w:p>
    <w:p w:rsidR="005A1BDF" w:rsidRPr="007F3363" w:rsidRDefault="00EE4FA6" w:rsidP="00CD207C">
      <w:pPr>
        <w:pStyle w:val="Ttulo2"/>
        <w:jc w:val="center"/>
        <w:rPr>
          <w:rFonts w:asciiTheme="minorHAnsi" w:hAnsiTheme="minorHAnsi"/>
          <w:color w:val="auto"/>
          <w:sz w:val="24"/>
          <w:szCs w:val="24"/>
          <w:lang w:eastAsia="en-US"/>
        </w:rPr>
      </w:pPr>
      <w:r w:rsidRPr="007F3363">
        <w:rPr>
          <w:rFonts w:asciiTheme="minorHAnsi" w:hAnsiTheme="minorHAnsi"/>
          <w:noProof/>
          <w:color w:val="auto"/>
          <w:sz w:val="24"/>
          <w:szCs w:val="24"/>
        </w:rPr>
        <w:lastRenderedPageBreak/>
        <w:drawing>
          <wp:inline distT="0" distB="0" distL="0" distR="0">
            <wp:extent cx="3886200" cy="38227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6200" cy="3822700"/>
                    </a:xfrm>
                    <a:prstGeom prst="rect">
                      <a:avLst/>
                    </a:prstGeom>
                    <a:noFill/>
                    <a:ln>
                      <a:noFill/>
                    </a:ln>
                  </pic:spPr>
                </pic:pic>
              </a:graphicData>
            </a:graphic>
          </wp:inline>
        </w:drawing>
      </w:r>
    </w:p>
    <w:p w:rsidR="005A1E68" w:rsidRPr="007F3363" w:rsidRDefault="005A1E68" w:rsidP="00CD207C">
      <w:pPr>
        <w:pStyle w:val="Ttulo2"/>
        <w:rPr>
          <w:rFonts w:asciiTheme="minorHAnsi" w:hAnsiTheme="minorHAnsi"/>
          <w:color w:val="auto"/>
          <w:sz w:val="24"/>
          <w:szCs w:val="24"/>
          <w:lang w:eastAsia="en-US"/>
        </w:rPr>
      </w:pPr>
      <w:bookmarkStart w:id="29" w:name="_Toc494961923"/>
      <w:r w:rsidRPr="007F3363">
        <w:rPr>
          <w:rFonts w:asciiTheme="minorHAnsi" w:hAnsiTheme="minorHAnsi"/>
          <w:color w:val="auto"/>
          <w:sz w:val="24"/>
          <w:szCs w:val="24"/>
          <w:lang w:eastAsia="en-US"/>
        </w:rPr>
        <w:t>Risco de Liquidez</w:t>
      </w:r>
      <w:bookmarkEnd w:id="29"/>
      <w:r w:rsidRPr="007F3363">
        <w:rPr>
          <w:rFonts w:asciiTheme="minorHAnsi" w:hAnsiTheme="minorHAnsi"/>
          <w:color w:val="auto"/>
          <w:sz w:val="24"/>
          <w:szCs w:val="24"/>
          <w:lang w:eastAsia="en-US"/>
        </w:rPr>
        <w:t xml:space="preserve"> </w:t>
      </w:r>
    </w:p>
    <w:p w:rsidR="005A1E68" w:rsidRPr="007F3363" w:rsidRDefault="005A1E68" w:rsidP="00CD207C">
      <w:pPr>
        <w:ind w:firstLine="720"/>
        <w:rPr>
          <w:rFonts w:asciiTheme="minorHAnsi" w:hAnsiTheme="minorHAnsi"/>
          <w:lang w:eastAsia="en-US"/>
        </w:rPr>
      </w:pPr>
      <w:r w:rsidRPr="007F3363">
        <w:rPr>
          <w:rFonts w:asciiTheme="minorHAnsi" w:hAnsiTheme="minorHAnsi"/>
          <w:lang w:eastAsia="en-US"/>
        </w:rPr>
        <w:t>O risco de liquidez caracteriza-se pela possibilidade de redução ou mesmo inexistência de demanda pelos títulos e valores mobiliários integrantes do veículo de investimento considerado, nos respectivos mercados em que são negociados. Sendo assim, o gestor do veículo de investimento considerado pode encontrar dificuldades para negociar os referidos títulos e valores mobiliários pelo preço e no momento desejado.</w:t>
      </w:r>
    </w:p>
    <w:p w:rsidR="005A1E68" w:rsidRPr="007F3363" w:rsidRDefault="005A1E68" w:rsidP="00CD207C">
      <w:pPr>
        <w:ind w:firstLine="709"/>
        <w:rPr>
          <w:rFonts w:asciiTheme="minorHAnsi" w:hAnsiTheme="minorHAnsi"/>
          <w:lang w:eastAsia="en-US"/>
        </w:rPr>
      </w:pPr>
      <w:r w:rsidRPr="007F3363">
        <w:rPr>
          <w:rFonts w:asciiTheme="minorHAnsi" w:hAnsiTheme="minorHAnsi"/>
          <w:lang w:eastAsia="en-US"/>
        </w:rPr>
        <w:t xml:space="preserve">Para mitigar este risco, </w:t>
      </w:r>
      <w:r w:rsidR="00F07176" w:rsidRPr="007F3363">
        <w:rPr>
          <w:rFonts w:asciiTheme="minorHAnsi" w:hAnsiTheme="minorHAnsi"/>
          <w:lang w:eastAsia="en-US"/>
        </w:rPr>
        <w:t xml:space="preserve">o </w:t>
      </w:r>
      <w:r w:rsidR="001E3220" w:rsidRPr="007F3363">
        <w:rPr>
          <w:rFonts w:asciiTheme="minorHAnsi" w:hAnsiTheme="minorHAnsi"/>
        </w:rPr>
        <w:t xml:space="preserve">RPPS – </w:t>
      </w:r>
      <w:r w:rsidR="0073786F" w:rsidRPr="007F3363">
        <w:rPr>
          <w:rFonts w:asciiTheme="minorHAnsi" w:hAnsiTheme="minorHAnsi"/>
        </w:rPr>
        <w:t>São Nicolau</w:t>
      </w:r>
      <w:r w:rsidR="00954ABD" w:rsidRPr="007F3363">
        <w:rPr>
          <w:rFonts w:asciiTheme="minorHAnsi" w:hAnsiTheme="minorHAnsi"/>
          <w:lang w:eastAsia="en-US"/>
        </w:rPr>
        <w:t xml:space="preserve"> </w:t>
      </w:r>
      <w:r w:rsidRPr="007F3363">
        <w:rPr>
          <w:rFonts w:asciiTheme="minorHAnsi" w:hAnsiTheme="minorHAnsi"/>
          <w:lang w:eastAsia="en-US"/>
        </w:rPr>
        <w:t>deve:</w:t>
      </w:r>
    </w:p>
    <w:p w:rsidR="005A1E68" w:rsidRPr="007F3363" w:rsidRDefault="005A1E68" w:rsidP="00CD207C">
      <w:pPr>
        <w:pStyle w:val="PargrafodaLista"/>
        <w:numPr>
          <w:ilvl w:val="0"/>
          <w:numId w:val="28"/>
        </w:numPr>
        <w:rPr>
          <w:rFonts w:asciiTheme="minorHAnsi" w:hAnsiTheme="minorHAnsi"/>
          <w:lang w:eastAsia="en-US"/>
        </w:rPr>
      </w:pPr>
      <w:r w:rsidRPr="007F3363">
        <w:rPr>
          <w:rFonts w:asciiTheme="minorHAnsi" w:hAnsiTheme="minorHAnsi"/>
          <w:lang w:eastAsia="en-US"/>
        </w:rPr>
        <w:t xml:space="preserve">acompanhar </w:t>
      </w:r>
      <w:r w:rsidR="00F10ACA" w:rsidRPr="007F3363">
        <w:rPr>
          <w:rFonts w:asciiTheme="minorHAnsi" w:hAnsiTheme="minorHAnsi"/>
          <w:lang w:eastAsia="en-US"/>
        </w:rPr>
        <w:t>mensalmente</w:t>
      </w:r>
      <w:r w:rsidRPr="007F3363">
        <w:rPr>
          <w:rFonts w:asciiTheme="minorHAnsi" w:hAnsiTheme="minorHAnsi"/>
          <w:lang w:eastAsia="en-US"/>
        </w:rPr>
        <w:t xml:space="preserve"> a evolução do valor do patrimônio e o número de investidores de cada fundo de investimento no qual mantém recursos aplicados;</w:t>
      </w:r>
    </w:p>
    <w:p w:rsidR="004D048E" w:rsidRPr="007F3363" w:rsidRDefault="005A1E68" w:rsidP="00CD207C">
      <w:pPr>
        <w:pStyle w:val="PargrafodaLista"/>
        <w:numPr>
          <w:ilvl w:val="0"/>
          <w:numId w:val="28"/>
        </w:numPr>
        <w:rPr>
          <w:rFonts w:asciiTheme="minorHAnsi" w:hAnsiTheme="minorHAnsi"/>
          <w:lang w:eastAsia="en-US"/>
        </w:rPr>
      </w:pPr>
      <w:r w:rsidRPr="007F3363">
        <w:rPr>
          <w:rFonts w:asciiTheme="minorHAnsi" w:hAnsiTheme="minorHAnsi"/>
          <w:lang w:eastAsia="en-US"/>
        </w:rPr>
        <w:t>manter um percentual adequado de seus recursos financeiros em ativos de liquidez imediata, de forma a honrar despesas futuras, sempre que o fluxo de caixa for deficitário.</w:t>
      </w:r>
    </w:p>
    <w:p w:rsidR="004D048E" w:rsidRPr="007F3363" w:rsidRDefault="004D048E" w:rsidP="00CD207C">
      <w:pPr>
        <w:spacing w:after="0"/>
        <w:jc w:val="left"/>
        <w:rPr>
          <w:rFonts w:asciiTheme="minorHAnsi" w:hAnsiTheme="minorHAnsi"/>
          <w:lang w:eastAsia="en-US"/>
        </w:rPr>
      </w:pPr>
    </w:p>
    <w:p w:rsidR="008C38BD" w:rsidRPr="007F3363" w:rsidRDefault="008C38BD" w:rsidP="00CD207C">
      <w:pPr>
        <w:pStyle w:val="Ttulo1"/>
        <w:rPr>
          <w:rFonts w:asciiTheme="minorHAnsi" w:hAnsiTheme="minorHAnsi"/>
          <w:sz w:val="24"/>
          <w:szCs w:val="24"/>
        </w:rPr>
      </w:pPr>
      <w:bookmarkStart w:id="30" w:name="_Toc494961924"/>
      <w:r w:rsidRPr="007F3363">
        <w:rPr>
          <w:rFonts w:asciiTheme="minorHAnsi" w:hAnsiTheme="minorHAnsi"/>
          <w:sz w:val="24"/>
          <w:szCs w:val="24"/>
        </w:rPr>
        <w:t>Avaliação do Cenário Macroeconômico, Financeiro e Perspectivas de Investimentos</w:t>
      </w:r>
      <w:bookmarkEnd w:id="30"/>
    </w:p>
    <w:p w:rsidR="00536714" w:rsidRPr="007F3363" w:rsidRDefault="00536714" w:rsidP="00CD207C">
      <w:pPr>
        <w:pStyle w:val="Ttulo2"/>
        <w:rPr>
          <w:rFonts w:asciiTheme="minorHAnsi" w:hAnsiTheme="minorHAnsi"/>
          <w:color w:val="auto"/>
          <w:sz w:val="24"/>
          <w:szCs w:val="24"/>
        </w:rPr>
      </w:pPr>
      <w:bookmarkStart w:id="31" w:name="_Toc494961925"/>
      <w:r w:rsidRPr="007F3363">
        <w:rPr>
          <w:rFonts w:asciiTheme="minorHAnsi" w:hAnsiTheme="minorHAnsi"/>
          <w:color w:val="auto"/>
          <w:sz w:val="24"/>
          <w:szCs w:val="24"/>
        </w:rPr>
        <w:t>Aspectos Globais</w:t>
      </w:r>
      <w:bookmarkEnd w:id="31"/>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No final de 2017 a economia mundial estava preocupada com dois principais fatores de risco: 1 – A Coréia do Norte e os EUA vão entrar em Guerra</w:t>
      </w:r>
      <w:proofErr w:type="gramStart"/>
      <w:r w:rsidRPr="007F3363">
        <w:rPr>
          <w:rFonts w:asciiTheme="minorHAnsi" w:hAnsiTheme="minorHAnsi"/>
          <w:lang w:eastAsia="en-US"/>
        </w:rPr>
        <w:t>?;</w:t>
      </w:r>
      <w:proofErr w:type="gramEnd"/>
      <w:r w:rsidRPr="007F3363">
        <w:rPr>
          <w:rFonts w:asciiTheme="minorHAnsi" w:hAnsiTheme="minorHAnsi"/>
          <w:lang w:eastAsia="en-US"/>
        </w:rPr>
        <w:t xml:space="preserve"> 2 - Como irá se comportar a economia Chinesa?</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lastRenderedPageBreak/>
        <w:t xml:space="preserve">Podemos dizer que esses temores se dissiparam durante 2018. O improvável encontro entre o Ditador Coreano e Donald Trump praticamente encerraram as ameaças. Claro, ainda existe uma alfinetada de lá e uma resposta mais brusca de cá, mas nada que represente risco. Os exercícios militares estão praticamente findos. </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 xml:space="preserve">Com relação à China, o país vem reduzindo o crescimento, conforme amplamente esperado, de forma gradual e lenta, nos levando ao cenário ideal, sem surpresas, conforme veremos quando da análise econômica do país. Na realidade, vem conduzindo de forma bem interessante o desaquecimento. </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 xml:space="preserve">Atualmente podemos dizer que os maiores riscos que temos são: 1 – Guerra Comercial entre os EUA e os demais países do mundo; 2 - Desaquecimento da Economia Mundial; Os dois fatores de risco estão </w:t>
      </w:r>
      <w:proofErr w:type="gramStart"/>
      <w:r w:rsidRPr="007F3363">
        <w:rPr>
          <w:rFonts w:asciiTheme="minorHAnsi" w:hAnsiTheme="minorHAnsi"/>
          <w:lang w:eastAsia="en-US"/>
        </w:rPr>
        <w:t>bastante</w:t>
      </w:r>
      <w:proofErr w:type="gramEnd"/>
      <w:r w:rsidRPr="007F3363">
        <w:rPr>
          <w:rFonts w:asciiTheme="minorHAnsi" w:hAnsiTheme="minorHAnsi"/>
          <w:lang w:eastAsia="en-US"/>
        </w:rPr>
        <w:t xml:space="preserve"> presentes, portanto, estamos em um momento de alerta global.</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Iniciando pela análise da Zona do Euro, região que importou do Brasil, em 2018, até agosto, US$ 27,5 Bi, sendo nosso segundo maior parceiro comercial em volume de transações, com volume em US$ 51,3 Bi. O crescimento do PIB da região em 2017 foi de 2,4%. A previsão para crescimento, segundo relatório do FMI, em 2018, é de 1,9%. Já para 2019, a previsão é de nova desaceleração, para 1,9% de crescimento.</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A inflação anual está em 2,1%, um pouco acima das expectativas, devido principalmente ao aumento no custo da energia, mas também evidenciando o aumento do consumo na região. O desemprego em setembro está em 6,8%, caso o Reino Unido esteja incluído ou 7,1%, sem contar o Reino Unido. Saliento que no ano passado, no mesmo período, a taxa de desemprego estava em 9,1%. Isso mostra a recuperação gradual e constante da Região, compatível com o atual discurso do BCE (Banco Central Europeu) de gradualmente reduzir seu pacote de estímulos.</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Nos Estados Unidos, país que exportamos até agosto US$ 18,51 Bilhões, tornando-o o terceiro maior importador da nossa economia, com negócios atingindo US$ 37, 22 Bi, o PIB cresceu incríveis 4,2% na taxa anualizada, acima das expectativas de mercado que apontavam para 4,1%. O aumento do consumo das famílias foi o principal fator de impacto no PIB. A taxa de desemprego aumentou segue baixa, em 3,9% em agosto de 2018. Com o PIB em 4%, ou seja, acima da taxa de desemprego, já podemos falar em Pleno Emprego nos EUA.</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 xml:space="preserve">A inflação acumulada em 12 meses atingiu 2,70%, refletindo o aumento da demanda. Todos os dados estão em linha com a expectativa do FOMC (Banco Central dos EUA), devendo manter o plano de aumento da taxa de juro nos EUA, atualmente entre 1,75% e 2% a.a. para entre </w:t>
      </w:r>
      <w:r w:rsidRPr="007F3363">
        <w:rPr>
          <w:rFonts w:asciiTheme="minorHAnsi" w:hAnsiTheme="minorHAnsi"/>
          <w:lang w:eastAsia="en-US"/>
        </w:rPr>
        <w:lastRenderedPageBreak/>
        <w:t>3,25% e 3,5% a.a. no final de 2019. Ou seja, um aumento da remuneração do capital investido em Renda Fixa naquele país, atraindo os tão desejados dólares e gerando uma valorização da moeda mundo afora.</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A China, nossa maior importadora, com saldo de US$ 42 bilhões até agosto e negócios que atingiram, no mesmo período, US$ 66,3 Bi. O PIB nos últimos 12 meses acumula alta de 6,70%, mantendo o crescimento de 2017, mas de uma maneira mais sustentável. A expectativa do FMI é que o PIB Chinês feche 2018 a 6,60% de crescimento e 2019 com 6,4% de alta. A inflação nos últimos 12 meses está 2,32%. O governo segue tomando medidas de forma a manter o nível de inflação relativamente baixo. A taxa de desemprego deve permanecer constante em 5%, o que significa pleno emprego naquele país. O relatório do FMI alerta para a necessidade de reformas fiscais e para o risco de um elevado endividamento no longo prazo.</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Neste ano vamos abrir espaço para a Argentina, que vive um momento delicado e é o nosso quarto maior parceiro comercial, tendo realizado US$ 18,8 Bi de negócios com o Brasil. O país recentemente precisou aumentar sua taxa básica de juro a 60% a.a. para conter a desvalorização do peso (moeda local). O atual governo está tentando realizar uma política pró-mercado, mas com a retirada dos estímulos por parte dos EUA, os investidores desistiram de “apostar na Argentina” correndo para mercados mais consolidados. Recentemente o país recebeu socorro emergencial do FMI, na casa de US$ 50 Bi. A inflação atualmente está próxima de 20% a.a.</w:t>
      </w:r>
    </w:p>
    <w:p w:rsidR="006A61A3" w:rsidRPr="007F3363" w:rsidRDefault="006A61A3" w:rsidP="006A61A3">
      <w:pPr>
        <w:ind w:firstLine="720"/>
        <w:jc w:val="center"/>
        <w:rPr>
          <w:rFonts w:asciiTheme="minorHAnsi" w:hAnsiTheme="minorHAnsi"/>
          <w:lang w:eastAsia="en-US"/>
        </w:rPr>
      </w:pPr>
      <w:r w:rsidRPr="007F3363">
        <w:rPr>
          <w:noProof/>
        </w:rPr>
        <w:drawing>
          <wp:inline distT="0" distB="0" distL="0" distR="0" wp14:anchorId="04A55F89" wp14:editId="574EC0DE">
            <wp:extent cx="3671919" cy="3412873"/>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31288" cy="3468053"/>
                    </a:xfrm>
                    <a:prstGeom prst="rect">
                      <a:avLst/>
                    </a:prstGeom>
                  </pic:spPr>
                </pic:pic>
              </a:graphicData>
            </a:graphic>
          </wp:inline>
        </w:drawing>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 xml:space="preserve"> </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lastRenderedPageBreak/>
        <w:t>Vamos incluir, também, a Turquia, país com a segunda maior desvalorização da moeda local em 2018, mais de 40%, afetada diretamente por medidas protecionistas impostas pelos EUA, atingindo a produção de aço e alumínio do país, fazendo com que estes aumentassem a taxa básica de juro para 24% a.a. Ou seja, por tudo exposto acima, vemos que os EUA está fazendo um governo para os EUA.</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Observem que o Real Brasileiro foi a terceira moeda que mais desvalorizou, e seguimos com taxa básica de juro baixa. Após as eleições poderemos ter alguma mudança, com viés altista.</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Por fim, a previsão para economia global, com o PIB mundial, segundo o FMI, apresentando crescimento de 3,9% em 2018 e de 3,9% em 2019, refletindo a recuperação das economias mais desenvolvidas em detrimento das economias emergentes.</w:t>
      </w:r>
    </w:p>
    <w:p w:rsidR="006A61A3" w:rsidRPr="007F3363" w:rsidRDefault="006A61A3" w:rsidP="006A61A3">
      <w:pPr>
        <w:pStyle w:val="Ttulo3"/>
        <w:rPr>
          <w:rFonts w:asciiTheme="minorHAnsi" w:hAnsiTheme="minorHAnsi"/>
          <w:color w:val="auto"/>
          <w:lang w:eastAsia="en-US"/>
        </w:rPr>
      </w:pPr>
      <w:bookmarkStart w:id="32" w:name="_Toc494961926"/>
      <w:r w:rsidRPr="007F3363">
        <w:rPr>
          <w:rFonts w:asciiTheme="minorHAnsi" w:hAnsiTheme="minorHAnsi"/>
          <w:color w:val="auto"/>
          <w:lang w:eastAsia="en-US"/>
        </w:rPr>
        <w:t>Emergentes</w:t>
      </w:r>
      <w:bookmarkEnd w:id="32"/>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Com relação a China, já comentamos. Os demais países emergentes também sentem a política protecionista dos EUA, como já mostramos a Argentina e a Turquia. O Brasil traremos em capítulo separado, mas abriremos espaço para Rússia e Índia, países que competem pelos mesmos investidores que o Brasil.</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Na Rússia a estabilidade/leve alta nos preços do Petróleo está suportando a economia, apesar de estarem presentes os recorrentes problemas estruturais e o impacto das sanções na produtividade e investimento. O PIB para 2017 o crescimento foi de 1,5%, depois de uma queda em 2016 de 0,2%. A inflação está estável, em torno de 2,53% a.a. Para 2019, o crescimento previsto é de 1,5%. É um país muito similar ao Brasil, tanto em corrupção como em dependência do preço de commodities. Atualmente, por mais estranho que possa soar, o país está mais estável politicamente do que o Brasil, o que agrega certa vantagem para a Rússia quanto a investimentos. A taxa básica de juro na Rússia está em 7,5%, a mais baixa da história.</w:t>
      </w:r>
    </w:p>
    <w:p w:rsidR="006A61A3" w:rsidRPr="007F3363" w:rsidRDefault="006C52CB" w:rsidP="006A61A3">
      <w:pPr>
        <w:ind w:firstLine="720"/>
        <w:rPr>
          <w:rFonts w:asciiTheme="minorHAnsi" w:hAnsiTheme="minorHAnsi"/>
          <w:lang w:eastAsia="en-US"/>
        </w:rPr>
      </w:pPr>
      <w:r>
        <w:rPr>
          <w:rFonts w:asciiTheme="minorHAnsi" w:hAnsiTheme="minorHAnsi"/>
          <w:lang w:eastAsia="en-US"/>
        </w:rPr>
        <w:t xml:space="preserve">A Índia segue </w:t>
      </w:r>
      <w:r w:rsidR="006A61A3" w:rsidRPr="007F3363">
        <w:rPr>
          <w:rFonts w:asciiTheme="minorHAnsi" w:hAnsiTheme="minorHAnsi"/>
          <w:lang w:eastAsia="en-US"/>
        </w:rPr>
        <w:t>com o melhor cenário. A atividade econômica segue pujante, com aumento do poder de compra da população e pelo desenvolvimento industrial. O crescimento do PIB em 2017 foi de 6,7%. A expectativa para 2018 é de crescimento de 7,7%. Para 2018, o crescimento do PIB esperado é 7,5%. A inflação esperada é de 5,61%, refletido o aumento de poder aquisitivo da população e o aumento do consumo, resultado de reformas estruturais. O país, como não é produtor de petróleo, se beneficia dos preços relativamente estáveis das commodities. A taxa de juro está em 6,5%, após o aumento de 0,25% em agosto.</w:t>
      </w:r>
    </w:p>
    <w:p w:rsidR="006A61A3" w:rsidRPr="007F3363" w:rsidRDefault="006A61A3" w:rsidP="006A61A3">
      <w:pPr>
        <w:pStyle w:val="Ttulo2"/>
        <w:rPr>
          <w:rFonts w:asciiTheme="minorHAnsi" w:hAnsiTheme="minorHAnsi"/>
          <w:color w:val="auto"/>
          <w:sz w:val="24"/>
          <w:szCs w:val="24"/>
          <w:lang w:eastAsia="en-US"/>
        </w:rPr>
      </w:pPr>
      <w:bookmarkStart w:id="33" w:name="_Toc494961927"/>
      <w:r w:rsidRPr="007F3363">
        <w:rPr>
          <w:rFonts w:asciiTheme="minorHAnsi" w:hAnsiTheme="minorHAnsi"/>
          <w:color w:val="auto"/>
          <w:sz w:val="24"/>
          <w:szCs w:val="24"/>
          <w:lang w:eastAsia="en-US"/>
        </w:rPr>
        <w:lastRenderedPageBreak/>
        <w:t>Tendências para o Brasil</w:t>
      </w:r>
      <w:bookmarkEnd w:id="33"/>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Segundo a última revisão do relatório do FMI, divulgada em 08/2018, a economia brasileira está enfrentando sérios desafios.  Aponta para a necessidade de reformas estruturais, incluindo a da previdência, uma consolidação fiscal e um aperto da estrutura do setor financeiro, com taxas mais baixas, de forma a estimular a economia. Aponta a possibilidade de chegarmos com uma dívida bruta acima dos 90% do PIB em 2023, o que seria muito preocupante.</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 xml:space="preserve">O relatório aponta o grande potencial de desenvolvimento e crescimento do Brasil, mas que precisamos restabelecer a confiança política e fiscal do país, passando por reformas tributárias. Quanto à política monetária, diz que o país pode estar perdendo o timing do aumento da taxa de juro e que o real tem se depreciado rapidamente. Aponta influência política no Banco Central Brasileiro.  Exalta a reforma trabalhista e de crédito subsidiado. </w:t>
      </w:r>
    </w:p>
    <w:p w:rsidR="006A61A3" w:rsidRPr="007F3363" w:rsidRDefault="006A61A3" w:rsidP="006A61A3">
      <w:pPr>
        <w:pStyle w:val="NormalWeb"/>
        <w:spacing w:line="360" w:lineRule="auto"/>
        <w:rPr>
          <w:rFonts w:asciiTheme="minorHAnsi" w:hAnsiTheme="minorHAnsi" w:cs="Arial"/>
          <w:sz w:val="24"/>
          <w:szCs w:val="24"/>
          <w:lang w:val="pt-BR"/>
        </w:rPr>
      </w:pPr>
      <w:r w:rsidRPr="007F3363">
        <w:rPr>
          <w:rFonts w:asciiTheme="minorHAnsi" w:hAnsiTheme="minorHAnsi" w:cs="Arial"/>
          <w:sz w:val="24"/>
          <w:szCs w:val="24"/>
          <w:lang w:val="pt-BR"/>
        </w:rPr>
        <w:t>As contas do setor público no resultado consolidado apresentaram déficit primário (excluído o pagamento dos juros) de R$ 17,825 Bilhões no acumulado agosto, melhor do que as expectativas de mercado. Os analistas acreditam que o governo vai conseguir atingir a meta de déficit, de até R$ 161,3 Bilhões. Pagamos em juros, só em 2018, R$ 395 Bilhões. Atualmente nossas reservas estão em US$ 380 Bi. A dívida bruta está em R$ 5,2 Trilhões, ou 77% do PIB, nível elevado.</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O atual governo assumiu com o discurso de corte de despesas e congelamento dos gastos. Apesar de ter sido esta a ideia original, na realidade isto não se constatou. O governo aumentou despesas e não conseguiu, ao longo de 2018, realizar reformas que viabilizassem a máquina pública. A falta de governabilidade que tínhamos com Dilma, foi assumida por Temer. Nada se produziu no congresso nacional que pudesse resultar em melhora fiscal para o país. A arrecadação foi feita, em sua grande maioria, por receitas extraordinárias. O que precisamos é de receita recorrente.</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 xml:space="preserve">Em 2017, atingimos o pico de desemprego no Brasil desde o início da série histórica, chegando a 14 milhões de desempregados ou 13,7% da população, segundo a Pnad Contínua, no trimestre que se encerrou em março. Desde lá, o desemprego tem recuado, chegando a 12,3% no trimestre encerrado em julho de 2018, com aproximadamente 13 milhões de desempregados. Mas isto não significa que a situação tem melhorado, uma vez que temos uma população de desalentados atingindo a máxima história, próximo de 5 milhões de pessoas que desistiram de procurar emprego e que não entram na estatística dos desempregados. </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Os gráficos abaixo demonstram os números:</w:t>
      </w:r>
    </w:p>
    <w:p w:rsidR="006A61A3" w:rsidRPr="007F3363" w:rsidRDefault="006A61A3" w:rsidP="006A61A3">
      <w:pPr>
        <w:ind w:firstLine="720"/>
        <w:jc w:val="left"/>
        <w:rPr>
          <w:rFonts w:asciiTheme="minorHAnsi" w:hAnsiTheme="minorHAnsi"/>
          <w:lang w:eastAsia="en-US"/>
        </w:rPr>
      </w:pPr>
      <w:r w:rsidRPr="007F3363">
        <w:rPr>
          <w:noProof/>
        </w:rPr>
        <w:lastRenderedPageBreak/>
        <w:drawing>
          <wp:anchor distT="0" distB="0" distL="114300" distR="114300" simplePos="0" relativeHeight="251663360" behindDoc="0" locked="0" layoutInCell="1" allowOverlap="1" wp14:anchorId="0349E409" wp14:editId="44BDE983">
            <wp:simplePos x="0" y="0"/>
            <wp:positionH relativeFrom="page">
              <wp:posOffset>3982720</wp:posOffset>
            </wp:positionH>
            <wp:positionV relativeFrom="paragraph">
              <wp:posOffset>31115</wp:posOffset>
            </wp:positionV>
            <wp:extent cx="3230880" cy="2416810"/>
            <wp:effectExtent l="0" t="0" r="7620" b="2540"/>
            <wp:wrapSquare wrapText="bothSides"/>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30880" cy="2416810"/>
                    </a:xfrm>
                    <a:prstGeom prst="rect">
                      <a:avLst/>
                    </a:prstGeom>
                  </pic:spPr>
                </pic:pic>
              </a:graphicData>
            </a:graphic>
          </wp:anchor>
        </w:drawing>
      </w:r>
      <w:r w:rsidRPr="007F3363">
        <w:rPr>
          <w:noProof/>
        </w:rPr>
        <w:drawing>
          <wp:anchor distT="0" distB="0" distL="114300" distR="114300" simplePos="0" relativeHeight="251662336" behindDoc="0" locked="0" layoutInCell="1" allowOverlap="1" wp14:anchorId="44B421EE" wp14:editId="4D86820C">
            <wp:simplePos x="0" y="0"/>
            <wp:positionH relativeFrom="column">
              <wp:posOffset>-304800</wp:posOffset>
            </wp:positionH>
            <wp:positionV relativeFrom="paragraph">
              <wp:posOffset>0</wp:posOffset>
            </wp:positionV>
            <wp:extent cx="3444240" cy="2661209"/>
            <wp:effectExtent l="0" t="0" r="381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44240" cy="2661209"/>
                    </a:xfrm>
                    <a:prstGeom prst="rect">
                      <a:avLst/>
                    </a:prstGeom>
                  </pic:spPr>
                </pic:pic>
              </a:graphicData>
            </a:graphic>
          </wp:anchor>
        </w:drawing>
      </w:r>
    </w:p>
    <w:p w:rsidR="006A61A3" w:rsidRPr="007F3363" w:rsidRDefault="006A61A3" w:rsidP="006A61A3">
      <w:pPr>
        <w:tabs>
          <w:tab w:val="left" w:pos="1620"/>
        </w:tabs>
        <w:ind w:firstLine="720"/>
        <w:jc w:val="left"/>
        <w:rPr>
          <w:rFonts w:asciiTheme="minorHAnsi" w:hAnsiTheme="minorHAnsi"/>
          <w:lang w:eastAsia="en-US"/>
        </w:rPr>
      </w:pPr>
      <w:r w:rsidRPr="007F3363">
        <w:rPr>
          <w:rFonts w:asciiTheme="minorHAnsi" w:hAnsiTheme="minorHAnsi"/>
          <w:lang w:eastAsia="en-US"/>
        </w:rPr>
        <w:t>Ou seja, a economia não está se recuperando a ponto de poder absorver nova mão de obra.</w:t>
      </w:r>
    </w:p>
    <w:p w:rsidR="006A61A3" w:rsidRPr="007F3363" w:rsidRDefault="006A61A3" w:rsidP="006A61A3">
      <w:pPr>
        <w:tabs>
          <w:tab w:val="left" w:pos="1620"/>
        </w:tabs>
        <w:ind w:firstLine="720"/>
        <w:jc w:val="left"/>
        <w:rPr>
          <w:rFonts w:asciiTheme="minorHAnsi" w:hAnsiTheme="minorHAnsi"/>
          <w:lang w:eastAsia="en-US"/>
        </w:rPr>
      </w:pPr>
      <w:r w:rsidRPr="007F3363">
        <w:rPr>
          <w:rFonts w:asciiTheme="minorHAnsi" w:hAnsiTheme="minorHAnsi"/>
          <w:lang w:eastAsia="en-US"/>
        </w:rPr>
        <w:t>A previsão para a inflação esperada em 2017 ficou 2,95%, abaixo do piso da meta. Em 2018, o IPCA acumulado de 12 meses está 4,19% e a previsão do Focus para 2018 está em 4,05%. Para 2019, a previsão é de 4,10%, como já dito.</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A taxa Selic, para o fim do período e para 2018, pelo boletim Focus, é estimada em</w:t>
      </w:r>
      <w:r w:rsidR="00E31683">
        <w:rPr>
          <w:rFonts w:asciiTheme="minorHAnsi" w:hAnsiTheme="minorHAnsi"/>
          <w:lang w:eastAsia="en-US"/>
        </w:rPr>
        <w:t xml:space="preserve"> </w:t>
      </w:r>
      <w:r w:rsidRPr="007F3363">
        <w:rPr>
          <w:rFonts w:asciiTheme="minorHAnsi" w:hAnsiTheme="minorHAnsi"/>
          <w:lang w:eastAsia="en-US"/>
        </w:rPr>
        <w:t>6,50%. Atualmente a Selic se encontra em 6,50%. Ou seja, o mercado está prevendo manutenção até o fim do ano. Já para 2019, a previsão é de 8,00%, ou seja, alta de 150 pontos base.</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Para a produção industrial, o mercado prevê crescimento de 2,26% em 2018 e de 2,82% em 2019, ou seja, um crescimento bastante modesto e que vem sendo revisado para baixo constantemente, haja visto a baixa confiança do empresariado e dos consumidores.</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A previsão para o Dólar em 2018 está em R$ 3,80 por dólar e para 2019 em R$ 3,70 por dólar.</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Para o PIB, a expectativa de crescimento para 2018 é de 1,40% e para 2019 de 2,50%.</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Encerrando a base de dados, temos as eleições bastante indefinidas. É muito complexo definir um cenário antes do primeiro turno.</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Analisando os dados acima, podemos ver claramente que o cenário está complexo. Com relação ao exterior, temos uma preocupação constante com relação ao cenário protecionista que vem dominando a pauta econômica.</w:t>
      </w:r>
    </w:p>
    <w:p w:rsidR="006A61A3" w:rsidRPr="007F3363" w:rsidRDefault="006A61A3" w:rsidP="00834406">
      <w:pPr>
        <w:ind w:firstLine="720"/>
        <w:rPr>
          <w:rFonts w:asciiTheme="minorHAnsi" w:hAnsiTheme="minorHAnsi"/>
          <w:lang w:eastAsia="en-US"/>
        </w:rPr>
      </w:pPr>
      <w:r w:rsidRPr="007F3363">
        <w:rPr>
          <w:rFonts w:asciiTheme="minorHAnsi" w:hAnsiTheme="minorHAnsi"/>
          <w:lang w:eastAsia="en-US"/>
        </w:rPr>
        <w:lastRenderedPageBreak/>
        <w:t>Aliado a isso, temos uma conjuntura nacional bastante delicada, e, já não ba</w:t>
      </w:r>
      <w:r w:rsidR="00834406">
        <w:rPr>
          <w:rFonts w:asciiTheme="minorHAnsi" w:hAnsiTheme="minorHAnsi"/>
          <w:lang w:eastAsia="en-US"/>
        </w:rPr>
        <w:t>stasse isso, ainda as eleições.</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A questão central é: temos que controlar os gastos públicos, aumentar as receitas, fazer com que a economia cresça e ainda manter o investidor no país.</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Com a conjuntura atual nacional de alto endividamento e média capacidade de estar pagando os juros da dívida, uma vez que seguimos gastando mais do que arrecadamos, aliado a um cenário externo de elevação de taxa de juro básica, podemos dizer com segurança que a taxa Selic deve aumentar, sob o risco do dólar superar o valor de R$ 5,00 nos próximos meses e termos uma perda significativa no poder de compra do Real.</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Para os investimentos, no curto prazo, este aumento pode ser negativo, uma vez que os fundos com componentes pré-fixados tendem a ter rentabilidade negativa. Mas no longo prazo, uma elevação de Selic irá facilitar o atingimento da meta atuarial, provavelmente para 2020.</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Para a economia, uma alta de Selic irá restringir ainda mais o crédito e aumentar a falta de confiança do empresário, o que fará com que o desemprego siga elevado e o consumo e o PIB baixos, facilitando o controle da inflação por parte do governo, além de ajudar no controle do dólar.</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Outro efeito negativo do aumento da Selic será o aumento dos juros pagos pelo Brasil nos títulos públicos federais, aumentando consequentemente o endividamento do país. Por consequência, teremos que criar mecanismos que aumentem a arrecadação e diminuam os gastos públicos, mas sem que isso atrapalhe a produção já baixa.</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Ou seja, o próximo presidente precisa dar uma injeção de confiança na população e nos mercados, sob pena de passarmos mais 4 anos nesta situação. Precisamos de um governo que consiga articular o congresso em pautas maiores e positivas para o Brasil.</w:t>
      </w:r>
    </w:p>
    <w:p w:rsidR="006A61A3" w:rsidRPr="007F3363" w:rsidRDefault="006A61A3" w:rsidP="006A61A3">
      <w:pPr>
        <w:ind w:firstLine="720"/>
        <w:rPr>
          <w:rFonts w:asciiTheme="minorHAnsi" w:hAnsiTheme="minorHAnsi"/>
          <w:lang w:eastAsia="en-US"/>
        </w:rPr>
      </w:pPr>
      <w:r w:rsidRPr="007F3363">
        <w:rPr>
          <w:rFonts w:asciiTheme="minorHAnsi" w:hAnsiTheme="minorHAnsi"/>
          <w:lang w:eastAsia="en-US"/>
        </w:rPr>
        <w:t>No cenário atual, com os Candidatos</w:t>
      </w:r>
      <w:r w:rsidR="00FD07A1" w:rsidRPr="007F3363">
        <w:rPr>
          <w:rFonts w:asciiTheme="minorHAnsi" w:hAnsiTheme="minorHAnsi"/>
          <w:lang w:eastAsia="en-US"/>
        </w:rPr>
        <w:t xml:space="preserve"> Jair Bolsonaro</w:t>
      </w:r>
      <w:r w:rsidRPr="007F3363">
        <w:rPr>
          <w:rFonts w:asciiTheme="minorHAnsi" w:hAnsiTheme="minorHAnsi"/>
          <w:lang w:eastAsia="en-US"/>
        </w:rPr>
        <w:t xml:space="preserve"> e </w:t>
      </w:r>
      <w:r w:rsidR="00FD07A1" w:rsidRPr="007F3363">
        <w:rPr>
          <w:rFonts w:asciiTheme="minorHAnsi" w:hAnsiTheme="minorHAnsi"/>
          <w:lang w:eastAsia="en-US"/>
        </w:rPr>
        <w:t>Fernando Haddad</w:t>
      </w:r>
      <w:r w:rsidRPr="007F3363">
        <w:rPr>
          <w:rFonts w:asciiTheme="minorHAnsi" w:hAnsiTheme="minorHAnsi"/>
          <w:lang w:eastAsia="en-US"/>
        </w:rPr>
        <w:t xml:space="preserve"> podemos traçar dois cenários: </w:t>
      </w:r>
    </w:p>
    <w:p w:rsidR="00FD07A1" w:rsidRPr="007F3363" w:rsidRDefault="00FD07A1" w:rsidP="00FD07A1">
      <w:pPr>
        <w:ind w:firstLine="720"/>
        <w:rPr>
          <w:rFonts w:asciiTheme="minorHAnsi" w:hAnsiTheme="minorHAnsi"/>
          <w:lang w:eastAsia="en-US"/>
        </w:rPr>
      </w:pPr>
      <w:r w:rsidRPr="007F3363">
        <w:rPr>
          <w:rFonts w:asciiTheme="minorHAnsi" w:hAnsiTheme="minorHAnsi"/>
          <w:lang w:eastAsia="en-US"/>
        </w:rPr>
        <w:t xml:space="preserve">No cenário atual, com os Candidatos Bolsonaro e Haddad podemos ver que o país segue dividido. Nas propagandas políticas, não vemos propostas e sim um PT ou </w:t>
      </w:r>
      <w:proofErr w:type="spellStart"/>
      <w:r w:rsidRPr="007F3363">
        <w:rPr>
          <w:rFonts w:asciiTheme="minorHAnsi" w:hAnsiTheme="minorHAnsi"/>
          <w:lang w:eastAsia="en-US"/>
        </w:rPr>
        <w:t>anti</w:t>
      </w:r>
      <w:proofErr w:type="spellEnd"/>
      <w:r w:rsidRPr="007F3363">
        <w:rPr>
          <w:rFonts w:asciiTheme="minorHAnsi" w:hAnsiTheme="minorHAnsi"/>
          <w:lang w:eastAsia="en-US"/>
        </w:rPr>
        <w:t xml:space="preserve"> PT. De toda forma, traçando um primeiro cenário para a vitória de Bolsonaro, que parece mais palpável.</w:t>
      </w:r>
    </w:p>
    <w:p w:rsidR="00FD07A1" w:rsidRPr="007F3363" w:rsidRDefault="00FD07A1" w:rsidP="00FD07A1">
      <w:pPr>
        <w:ind w:firstLine="720"/>
        <w:rPr>
          <w:rFonts w:asciiTheme="minorHAnsi" w:hAnsiTheme="minorHAnsi"/>
          <w:lang w:eastAsia="en-US"/>
        </w:rPr>
      </w:pPr>
      <w:r w:rsidRPr="007F3363">
        <w:rPr>
          <w:rFonts w:asciiTheme="minorHAnsi" w:hAnsiTheme="minorHAnsi"/>
          <w:lang w:eastAsia="en-US"/>
        </w:rPr>
        <w:lastRenderedPageBreak/>
        <w:t>A bancada militar/evangélica, que apoia Bolsonaro, aumentou expressivamente. O congresso, pós renovação, está com aspecto mais conservador e menos de centro esquerda, fazendo que, a priori, Bolsonaro possa ter maior facilidade de aprovar seus projetos. Mas isso vai depender, sem dúvida, da sua capacidade de fazer alianças, uma vez que não possui uma maioria no congresso. Creio que será mais um governo projeto a projeto. Voto a voto. Projetos que requeiram a maioria de 2/3, serão bem complicados.</w:t>
      </w:r>
    </w:p>
    <w:p w:rsidR="00FD07A1" w:rsidRPr="007F3363" w:rsidRDefault="00FD07A1" w:rsidP="00FD07A1">
      <w:pPr>
        <w:ind w:firstLine="720"/>
        <w:rPr>
          <w:rFonts w:asciiTheme="minorHAnsi" w:hAnsiTheme="minorHAnsi"/>
          <w:lang w:eastAsia="en-US"/>
        </w:rPr>
      </w:pPr>
      <w:r w:rsidRPr="007F3363">
        <w:rPr>
          <w:rFonts w:asciiTheme="minorHAnsi" w:hAnsiTheme="minorHAnsi"/>
          <w:lang w:eastAsia="en-US"/>
        </w:rPr>
        <w:t>No caso de Haddad, a situação também é complexa. Com o aumento da bancada conservadora e o antipetismo aflorado, acredito que terá muita dificuldade para aprovar qualquer pauta que precise de 2/3 dos votos, assim como Bolsonaro.</w:t>
      </w:r>
    </w:p>
    <w:p w:rsidR="00FD07A1" w:rsidRPr="007F3363" w:rsidRDefault="00FD07A1" w:rsidP="00FD07A1">
      <w:pPr>
        <w:ind w:firstLine="720"/>
        <w:rPr>
          <w:rFonts w:asciiTheme="minorHAnsi" w:hAnsiTheme="minorHAnsi"/>
          <w:lang w:eastAsia="en-US"/>
        </w:rPr>
      </w:pPr>
      <w:r w:rsidRPr="007F3363">
        <w:rPr>
          <w:rFonts w:asciiTheme="minorHAnsi" w:hAnsiTheme="minorHAnsi"/>
          <w:lang w:eastAsia="en-US"/>
        </w:rPr>
        <w:t>Creio que não teremos uma unificação de visão</w:t>
      </w:r>
      <w:r w:rsidR="00E31683" w:rsidRPr="007F3363">
        <w:rPr>
          <w:rFonts w:asciiTheme="minorHAnsi" w:hAnsiTheme="minorHAnsi"/>
          <w:lang w:eastAsia="en-US"/>
        </w:rPr>
        <w:t>, mas</w:t>
      </w:r>
      <w:r w:rsidRPr="007F3363">
        <w:rPr>
          <w:rFonts w:asciiTheme="minorHAnsi" w:hAnsiTheme="minorHAnsi"/>
          <w:lang w:eastAsia="en-US"/>
        </w:rPr>
        <w:t xml:space="preserve"> sim uma sequencia na bipolarização, o que será negativo de toda a forma. O principal ponto a ser observado é a reforma da previdência e a política monetária/econômica. Mas uma coisa é certa: teremos volatilidade!! </w:t>
      </w:r>
    </w:p>
    <w:p w:rsidR="00FD07A1" w:rsidRPr="007F3363" w:rsidRDefault="00FD07A1" w:rsidP="006A61A3">
      <w:pPr>
        <w:ind w:firstLine="720"/>
        <w:rPr>
          <w:rFonts w:asciiTheme="minorHAnsi" w:hAnsiTheme="minorHAnsi"/>
          <w:lang w:eastAsia="en-US"/>
        </w:rPr>
      </w:pPr>
    </w:p>
    <w:p w:rsidR="006A61A3" w:rsidRPr="007F3363" w:rsidRDefault="006A61A3" w:rsidP="006A61A3"/>
    <w:p w:rsidR="005516DB" w:rsidRPr="007F3363" w:rsidRDefault="00B91F8D" w:rsidP="00CD207C">
      <w:pPr>
        <w:pStyle w:val="Ttulo1"/>
        <w:rPr>
          <w:rFonts w:asciiTheme="minorHAnsi" w:hAnsiTheme="minorHAnsi"/>
          <w:lang w:eastAsia="en-US"/>
        </w:rPr>
      </w:pPr>
      <w:bookmarkStart w:id="34" w:name="_Toc494961928"/>
      <w:r w:rsidRPr="007F3363">
        <w:rPr>
          <w:rFonts w:asciiTheme="minorHAnsi" w:hAnsiTheme="minorHAnsi"/>
          <w:lang w:eastAsia="en-US"/>
        </w:rPr>
        <w:t>Justificativa do Cenário Prospectivo da Taxa de Juro</w:t>
      </w:r>
      <w:bookmarkEnd w:id="34"/>
    </w:p>
    <w:p w:rsidR="00B91F8D" w:rsidRPr="00177E7C" w:rsidRDefault="00B91F8D" w:rsidP="00CD207C">
      <w:pPr>
        <w:ind w:firstLine="720"/>
        <w:rPr>
          <w:rFonts w:asciiTheme="minorHAnsi" w:hAnsiTheme="minorHAnsi"/>
          <w:lang w:eastAsia="en-US"/>
        </w:rPr>
      </w:pPr>
      <w:r w:rsidRPr="00177E7C">
        <w:rPr>
          <w:rFonts w:asciiTheme="minorHAnsi" w:hAnsiTheme="minorHAnsi"/>
          <w:lang w:eastAsia="en-US"/>
        </w:rPr>
        <w:t>Face ao exposto acima, acredita-se que será pouco provável, com uma manutenção do perfil de baixo risco, atingir a meta atuarial, uma vez que a tendência é de que a ta</w:t>
      </w:r>
      <w:r w:rsidR="00F55736" w:rsidRPr="00177E7C">
        <w:rPr>
          <w:rFonts w:asciiTheme="minorHAnsi" w:hAnsiTheme="minorHAnsi"/>
          <w:lang w:eastAsia="en-US"/>
        </w:rPr>
        <w:t>xa livre de risco permaneça em 8</w:t>
      </w:r>
      <w:r w:rsidRPr="00177E7C">
        <w:rPr>
          <w:rFonts w:asciiTheme="minorHAnsi" w:hAnsiTheme="minorHAnsi"/>
          <w:lang w:eastAsia="en-US"/>
        </w:rPr>
        <w:t>% ao longo de 201</w:t>
      </w:r>
      <w:r w:rsidR="00F55736" w:rsidRPr="00177E7C">
        <w:rPr>
          <w:rFonts w:asciiTheme="minorHAnsi" w:hAnsiTheme="minorHAnsi"/>
          <w:lang w:eastAsia="en-US"/>
        </w:rPr>
        <w:t>9</w:t>
      </w:r>
      <w:r w:rsidRPr="00177E7C">
        <w:rPr>
          <w:rFonts w:asciiTheme="minorHAnsi" w:hAnsiTheme="minorHAnsi"/>
          <w:lang w:eastAsia="en-US"/>
        </w:rPr>
        <w:t>.</w:t>
      </w:r>
    </w:p>
    <w:p w:rsidR="00774AE4" w:rsidRPr="007F3363" w:rsidRDefault="005A1E68" w:rsidP="00CD207C">
      <w:pPr>
        <w:pStyle w:val="Ttulo1"/>
        <w:rPr>
          <w:rFonts w:asciiTheme="minorHAnsi" w:hAnsiTheme="minorHAnsi"/>
          <w:sz w:val="24"/>
          <w:szCs w:val="24"/>
          <w:lang w:eastAsia="en-US"/>
        </w:rPr>
      </w:pPr>
      <w:bookmarkStart w:id="35" w:name="_Toc494961929"/>
      <w:r w:rsidRPr="007F3363">
        <w:rPr>
          <w:rFonts w:asciiTheme="minorHAnsi" w:hAnsiTheme="minorHAnsi"/>
          <w:sz w:val="24"/>
          <w:szCs w:val="24"/>
          <w:lang w:eastAsia="en-US"/>
        </w:rPr>
        <w:t>Metodologia para Alocação Estratégica</w:t>
      </w:r>
      <w:bookmarkEnd w:id="35"/>
    </w:p>
    <w:p w:rsidR="008928EF" w:rsidRPr="007F3363" w:rsidRDefault="00D35C34" w:rsidP="00CD207C">
      <w:pPr>
        <w:ind w:firstLine="720"/>
        <w:rPr>
          <w:rFonts w:asciiTheme="minorHAnsi" w:hAnsiTheme="minorHAnsi"/>
        </w:rPr>
      </w:pPr>
      <w:r w:rsidRPr="007F3363">
        <w:rPr>
          <w:rFonts w:asciiTheme="minorHAnsi" w:hAnsiTheme="minorHAnsi"/>
        </w:rPr>
        <w:t xml:space="preserve">A alocação estratégica dos recursos </w:t>
      </w:r>
      <w:r w:rsidR="008928EF" w:rsidRPr="007F3363">
        <w:rPr>
          <w:rFonts w:asciiTheme="minorHAnsi" w:hAnsiTheme="minorHAnsi"/>
        </w:rPr>
        <w:t xml:space="preserve">do </w:t>
      </w:r>
      <w:r w:rsidR="001E3220" w:rsidRPr="007F3363">
        <w:rPr>
          <w:rFonts w:asciiTheme="minorHAnsi" w:hAnsiTheme="minorHAnsi"/>
        </w:rPr>
        <w:t xml:space="preserve">RPPS – </w:t>
      </w:r>
      <w:r w:rsidR="0073786F" w:rsidRPr="007F3363">
        <w:rPr>
          <w:rFonts w:asciiTheme="minorHAnsi" w:hAnsiTheme="minorHAnsi"/>
        </w:rPr>
        <w:t>São Nicolau</w:t>
      </w:r>
      <w:r w:rsidR="00954ABD" w:rsidRPr="007F3363">
        <w:rPr>
          <w:rFonts w:asciiTheme="minorHAnsi" w:hAnsiTheme="minorHAnsi"/>
        </w:rPr>
        <w:t xml:space="preserve"> </w:t>
      </w:r>
      <w:r w:rsidRPr="007F3363">
        <w:rPr>
          <w:rFonts w:asciiTheme="minorHAnsi" w:hAnsiTheme="minorHAnsi"/>
        </w:rPr>
        <w:t>será realizada respeitando</w:t>
      </w:r>
      <w:r w:rsidR="008928EF" w:rsidRPr="007F3363">
        <w:rPr>
          <w:rFonts w:asciiTheme="minorHAnsi" w:hAnsiTheme="minorHAnsi"/>
        </w:rPr>
        <w:t>, além da legislação vigente,</w:t>
      </w:r>
      <w:r w:rsidRPr="007F3363">
        <w:rPr>
          <w:rFonts w:asciiTheme="minorHAnsi" w:hAnsiTheme="minorHAnsi"/>
        </w:rPr>
        <w:t xml:space="preserve"> os objetivos do fundo, relação risco-retorno</w:t>
      </w:r>
      <w:r w:rsidR="008928EF" w:rsidRPr="007F3363">
        <w:rPr>
          <w:rFonts w:asciiTheme="minorHAnsi" w:hAnsiTheme="minorHAnsi"/>
        </w:rPr>
        <w:t xml:space="preserve">, e </w:t>
      </w:r>
      <w:r w:rsidR="0096362E" w:rsidRPr="007F3363">
        <w:rPr>
          <w:rFonts w:asciiTheme="minorHAnsi" w:hAnsiTheme="minorHAnsi"/>
        </w:rPr>
        <w:t xml:space="preserve">as </w:t>
      </w:r>
      <w:r w:rsidR="008928EF" w:rsidRPr="007F3363">
        <w:rPr>
          <w:rFonts w:asciiTheme="minorHAnsi" w:hAnsiTheme="minorHAnsi"/>
        </w:rPr>
        <w:t>condições de solvência, liquidez e transparência</w:t>
      </w:r>
      <w:r w:rsidR="0096362E" w:rsidRPr="007F3363">
        <w:rPr>
          <w:rFonts w:asciiTheme="minorHAnsi" w:hAnsiTheme="minorHAnsi"/>
        </w:rPr>
        <w:t xml:space="preserve"> dos ativos e instituições financeiras</w:t>
      </w:r>
      <w:r w:rsidR="008928EF" w:rsidRPr="007F3363">
        <w:rPr>
          <w:rFonts w:asciiTheme="minorHAnsi" w:hAnsiTheme="minorHAnsi"/>
        </w:rPr>
        <w:t>.</w:t>
      </w:r>
    </w:p>
    <w:p w:rsidR="00A57A27" w:rsidRPr="007F3363" w:rsidRDefault="003F3679" w:rsidP="00CD207C">
      <w:pPr>
        <w:ind w:firstLine="720"/>
        <w:rPr>
          <w:rFonts w:asciiTheme="minorHAnsi" w:hAnsiTheme="minorHAnsi" w:cs="Arial"/>
          <w:lang w:eastAsia="en-US"/>
        </w:rPr>
      </w:pPr>
      <w:r w:rsidRPr="007F3363">
        <w:rPr>
          <w:rFonts w:asciiTheme="minorHAnsi" w:hAnsiTheme="minorHAnsi"/>
        </w:rPr>
        <w:t>O F</w:t>
      </w:r>
      <w:r w:rsidR="002A505C" w:rsidRPr="007F3363">
        <w:rPr>
          <w:rFonts w:asciiTheme="minorHAnsi" w:hAnsiTheme="minorHAnsi"/>
        </w:rPr>
        <w:t>undo</w:t>
      </w:r>
      <w:r w:rsidRPr="007F3363">
        <w:rPr>
          <w:rFonts w:asciiTheme="minorHAnsi" w:hAnsiTheme="minorHAnsi"/>
        </w:rPr>
        <w:t xml:space="preserve"> </w:t>
      </w:r>
      <w:r w:rsidR="001D5543" w:rsidRPr="007F3363">
        <w:rPr>
          <w:rFonts w:asciiTheme="minorHAnsi" w:hAnsiTheme="minorHAnsi"/>
        </w:rPr>
        <w:t xml:space="preserve">segue uma estratégia de investimentos conhecida como </w:t>
      </w:r>
      <w:r w:rsidR="001D5543" w:rsidRPr="007F3363">
        <w:rPr>
          <w:rFonts w:asciiTheme="minorHAnsi" w:hAnsiTheme="minorHAnsi"/>
          <w:i/>
        </w:rPr>
        <w:t>top-down.</w:t>
      </w:r>
      <w:r w:rsidR="001D5543" w:rsidRPr="007F3363">
        <w:rPr>
          <w:rFonts w:asciiTheme="minorHAnsi" w:hAnsiTheme="minorHAnsi"/>
        </w:rPr>
        <w:t xml:space="preserve"> Esta estratégia consiste em, primeiramente analisar cenários macroeconômicos como crescimento do PIB, alterações internacionais, impactos na taxa de câmbio, taxa de juros, inflação e balanço de pagamentos. Com estes dados são feitas avaliações de desempenho futuro </w:t>
      </w:r>
      <w:r w:rsidR="00A57A27" w:rsidRPr="007F3363">
        <w:rPr>
          <w:rFonts w:asciiTheme="minorHAnsi" w:hAnsiTheme="minorHAnsi"/>
        </w:rPr>
        <w:t>de</w:t>
      </w:r>
      <w:r w:rsidR="001D5543" w:rsidRPr="007F3363">
        <w:rPr>
          <w:rFonts w:asciiTheme="minorHAnsi" w:hAnsiTheme="minorHAnsi"/>
        </w:rPr>
        <w:t xml:space="preserve"> índices </w:t>
      </w:r>
      <w:r w:rsidR="00A57A27" w:rsidRPr="007F3363">
        <w:rPr>
          <w:rFonts w:asciiTheme="minorHAnsi" w:hAnsiTheme="minorHAnsi"/>
        </w:rPr>
        <w:t>de mercado de renda fixa e renda variável e após, selecionam-se os índices prioritários para investimentos.</w:t>
      </w:r>
    </w:p>
    <w:p w:rsidR="00A57A27" w:rsidRPr="007F3363" w:rsidRDefault="001D5543" w:rsidP="00CD207C">
      <w:pPr>
        <w:ind w:firstLine="720"/>
        <w:rPr>
          <w:rFonts w:asciiTheme="minorHAnsi" w:hAnsiTheme="minorHAnsi" w:cs="Arial"/>
          <w:lang w:eastAsia="en-US"/>
        </w:rPr>
      </w:pPr>
      <w:r w:rsidRPr="007F3363">
        <w:rPr>
          <w:rFonts w:asciiTheme="minorHAnsi" w:hAnsiTheme="minorHAnsi"/>
        </w:rPr>
        <w:t>Depois de feita a alocação nos vértices com base na análise top-down de tendência dos mercados,</w:t>
      </w:r>
      <w:r w:rsidRPr="007F3363">
        <w:rPr>
          <w:rFonts w:asciiTheme="minorHAnsi" w:hAnsiTheme="minorHAnsi" w:cs="Arial"/>
          <w:lang w:eastAsia="en-US"/>
        </w:rPr>
        <w:t xml:space="preserve"> </w:t>
      </w:r>
      <w:r w:rsidR="00A57A27" w:rsidRPr="007F3363">
        <w:rPr>
          <w:rFonts w:asciiTheme="minorHAnsi" w:hAnsiTheme="minorHAnsi"/>
        </w:rPr>
        <w:t xml:space="preserve">dados qualitativos e quantitativos de ativos individuais são avaliados, afim de </w:t>
      </w:r>
      <w:r w:rsidR="00A57A27" w:rsidRPr="007F3363">
        <w:rPr>
          <w:rFonts w:asciiTheme="minorHAnsi" w:hAnsiTheme="minorHAnsi"/>
        </w:rPr>
        <w:lastRenderedPageBreak/>
        <w:t xml:space="preserve">selecionarmos os ativos que apresentam </w:t>
      </w:r>
      <w:r w:rsidR="00634B83" w:rsidRPr="007F3363">
        <w:rPr>
          <w:rFonts w:asciiTheme="minorHAnsi" w:hAnsiTheme="minorHAnsi"/>
        </w:rPr>
        <w:t xml:space="preserve">as melhores perspectivas de crescimento futuro e melhor relação retorno-risco </w:t>
      </w:r>
      <w:r w:rsidR="00A57A27" w:rsidRPr="007F3363">
        <w:rPr>
          <w:rFonts w:asciiTheme="minorHAnsi" w:hAnsiTheme="minorHAnsi"/>
        </w:rPr>
        <w:t>dentro de um mesmo segmento.</w:t>
      </w:r>
    </w:p>
    <w:p w:rsidR="0096362E" w:rsidRPr="007F3363" w:rsidRDefault="00634B83" w:rsidP="00CD207C">
      <w:pPr>
        <w:ind w:firstLine="720"/>
        <w:rPr>
          <w:rFonts w:asciiTheme="minorHAnsi" w:hAnsiTheme="minorHAnsi"/>
          <w:lang w:eastAsia="en-US"/>
        </w:rPr>
      </w:pPr>
      <w:r w:rsidRPr="007F3363">
        <w:rPr>
          <w:rFonts w:asciiTheme="minorHAnsi" w:hAnsiTheme="minorHAnsi"/>
        </w:rPr>
        <w:t>Por fim, utiliza-se ainda o modelo da Teoria Moderna do Portfólio de Harry Markowitz</w:t>
      </w:r>
      <w:r w:rsidRPr="007F3363">
        <w:rPr>
          <w:rFonts w:asciiTheme="minorHAnsi" w:hAnsiTheme="minorHAnsi"/>
          <w:lang w:eastAsia="en-US"/>
        </w:rPr>
        <w:t>, com o objetivo de encontrar a melhor alocação possível entre ativos, respeitados os parâmetros definidos na política de investimento.</w:t>
      </w:r>
    </w:p>
    <w:p w:rsidR="008C38BD" w:rsidRPr="007F3363" w:rsidRDefault="00B26E95" w:rsidP="00CD207C">
      <w:pPr>
        <w:ind w:firstLine="720"/>
        <w:rPr>
          <w:rFonts w:asciiTheme="minorHAnsi" w:hAnsiTheme="minorHAnsi"/>
        </w:rPr>
      </w:pPr>
      <w:r w:rsidRPr="007F3363">
        <w:rPr>
          <w:rFonts w:asciiTheme="minorHAnsi" w:hAnsiTheme="minorHAnsi"/>
        </w:rPr>
        <w:t>Frisa-se</w:t>
      </w:r>
      <w:r w:rsidR="00634B83" w:rsidRPr="007F3363">
        <w:rPr>
          <w:rFonts w:asciiTheme="minorHAnsi" w:hAnsiTheme="minorHAnsi"/>
        </w:rPr>
        <w:t xml:space="preserve"> aqui, que m</w:t>
      </w:r>
      <w:r w:rsidR="008928EF" w:rsidRPr="007F3363">
        <w:rPr>
          <w:rFonts w:asciiTheme="minorHAnsi" w:hAnsiTheme="minorHAnsi"/>
        </w:rPr>
        <w:t xml:space="preserve">anter-se fiel a uma estratégia de investimento em todas as condições de mercado é fundamental para alcançar os objetivos do fundo, especialmente em tempos de volatilidade no mercado. </w:t>
      </w:r>
    </w:p>
    <w:p w:rsidR="00355650" w:rsidRPr="007F3363" w:rsidRDefault="00355650" w:rsidP="00CD207C">
      <w:pPr>
        <w:pStyle w:val="Ttulo2"/>
        <w:rPr>
          <w:rFonts w:asciiTheme="minorHAnsi" w:hAnsiTheme="minorHAnsi"/>
          <w:color w:val="auto"/>
          <w:sz w:val="24"/>
          <w:szCs w:val="24"/>
        </w:rPr>
      </w:pPr>
      <w:bookmarkStart w:id="36" w:name="_Toc494961930"/>
      <w:r w:rsidRPr="007F3363">
        <w:rPr>
          <w:rFonts w:asciiTheme="minorHAnsi" w:hAnsiTheme="minorHAnsi"/>
          <w:color w:val="auto"/>
          <w:sz w:val="24"/>
          <w:szCs w:val="24"/>
        </w:rPr>
        <w:t>R</w:t>
      </w:r>
      <w:r w:rsidR="00D35C34" w:rsidRPr="007F3363">
        <w:rPr>
          <w:rFonts w:asciiTheme="minorHAnsi" w:hAnsiTheme="minorHAnsi"/>
          <w:color w:val="auto"/>
          <w:sz w:val="24"/>
          <w:szCs w:val="24"/>
        </w:rPr>
        <w:t>ealocação de Recursos</w:t>
      </w:r>
      <w:bookmarkEnd w:id="36"/>
    </w:p>
    <w:p w:rsidR="00355650" w:rsidRPr="007F3363" w:rsidRDefault="00355650" w:rsidP="00CD207C">
      <w:pPr>
        <w:ind w:firstLine="720"/>
        <w:rPr>
          <w:rFonts w:asciiTheme="minorHAnsi" w:hAnsiTheme="minorHAnsi"/>
        </w:rPr>
      </w:pPr>
      <w:r w:rsidRPr="007F3363">
        <w:rPr>
          <w:rFonts w:asciiTheme="minorHAnsi" w:hAnsiTheme="minorHAnsi"/>
        </w:rPr>
        <w:t>A realocação de recursos ocorrerá sempre que a ponderação de qualquer classe de ativo estiver fora dos limites definidos nesta Política de Investimento. Neste caso, de acordo com a Resolução 3.922/2010, o fundo terá um prazo máximo de 180 (cento e oitenta) dias para realizar esta adequação.</w:t>
      </w:r>
    </w:p>
    <w:p w:rsidR="00DC718E" w:rsidRPr="007F3363" w:rsidRDefault="00355650" w:rsidP="00CD207C">
      <w:pPr>
        <w:ind w:firstLine="720"/>
        <w:rPr>
          <w:rFonts w:asciiTheme="minorHAnsi" w:eastAsia="Calibri" w:hAnsiTheme="minorHAnsi"/>
        </w:rPr>
      </w:pPr>
      <w:r w:rsidRPr="007F3363">
        <w:rPr>
          <w:rFonts w:asciiTheme="minorHAnsi" w:eastAsia="Calibri" w:hAnsiTheme="minorHAnsi"/>
        </w:rPr>
        <w:t xml:space="preserve">Ademais, seguindo uma gestão ativa de investimento, </w:t>
      </w:r>
      <w:r w:rsidR="00D35C34" w:rsidRPr="007F3363">
        <w:rPr>
          <w:rFonts w:asciiTheme="minorHAnsi" w:eastAsia="Calibri" w:hAnsiTheme="minorHAnsi"/>
        </w:rPr>
        <w:t>os gestores</w:t>
      </w:r>
      <w:r w:rsidRPr="007F3363">
        <w:rPr>
          <w:rFonts w:asciiTheme="minorHAnsi" w:eastAsia="Calibri" w:hAnsiTheme="minorHAnsi"/>
        </w:rPr>
        <w:t xml:space="preserve"> </w:t>
      </w:r>
      <w:r w:rsidR="00D35C34" w:rsidRPr="007F3363">
        <w:rPr>
          <w:rFonts w:asciiTheme="minorHAnsi" w:eastAsia="Calibri" w:hAnsiTheme="minorHAnsi"/>
        </w:rPr>
        <w:t>poderão realizar</w:t>
      </w:r>
      <w:r w:rsidRPr="007F3363">
        <w:rPr>
          <w:rFonts w:asciiTheme="minorHAnsi" w:eastAsia="Calibri" w:hAnsiTheme="minorHAnsi"/>
        </w:rPr>
        <w:t xml:space="preserve"> realocaç</w:t>
      </w:r>
      <w:r w:rsidR="00D35C34" w:rsidRPr="007F3363">
        <w:rPr>
          <w:rFonts w:asciiTheme="minorHAnsi" w:eastAsia="Calibri" w:hAnsiTheme="minorHAnsi"/>
        </w:rPr>
        <w:t>ões</w:t>
      </w:r>
      <w:r w:rsidRPr="007F3363">
        <w:rPr>
          <w:rFonts w:asciiTheme="minorHAnsi" w:eastAsia="Calibri" w:hAnsiTheme="minorHAnsi"/>
        </w:rPr>
        <w:t xml:space="preserve"> </w:t>
      </w:r>
      <w:r w:rsidR="00F30E31" w:rsidRPr="007F3363">
        <w:rPr>
          <w:rFonts w:asciiTheme="minorHAnsi" w:eastAsia="Calibri" w:hAnsiTheme="minorHAnsi"/>
        </w:rPr>
        <w:t xml:space="preserve">táticas </w:t>
      </w:r>
      <w:r w:rsidRPr="007F3363">
        <w:rPr>
          <w:rFonts w:asciiTheme="minorHAnsi" w:eastAsia="Calibri" w:hAnsiTheme="minorHAnsi"/>
        </w:rPr>
        <w:t>de recursos</w:t>
      </w:r>
      <w:r w:rsidR="00F30E31" w:rsidRPr="007F3363">
        <w:rPr>
          <w:rFonts w:asciiTheme="minorHAnsi" w:eastAsia="Calibri" w:hAnsiTheme="minorHAnsi"/>
        </w:rPr>
        <w:t>,</w:t>
      </w:r>
      <w:r w:rsidR="00D35C34" w:rsidRPr="007F3363">
        <w:rPr>
          <w:rFonts w:asciiTheme="minorHAnsi" w:eastAsia="Calibri" w:hAnsiTheme="minorHAnsi"/>
        </w:rPr>
        <w:t xml:space="preserve"> visando </w:t>
      </w:r>
      <w:r w:rsidR="00F30E31" w:rsidRPr="007F3363">
        <w:rPr>
          <w:rFonts w:asciiTheme="minorHAnsi" w:eastAsia="Calibri" w:hAnsiTheme="minorHAnsi"/>
        </w:rPr>
        <w:t>aproveitamento de</w:t>
      </w:r>
      <w:r w:rsidR="008928EF" w:rsidRPr="007F3363">
        <w:rPr>
          <w:rFonts w:asciiTheme="minorHAnsi" w:eastAsia="Calibri" w:hAnsiTheme="minorHAnsi"/>
        </w:rPr>
        <w:t xml:space="preserve"> oportunidades observadas no mercado</w:t>
      </w:r>
      <w:r w:rsidR="00F30E31" w:rsidRPr="007F3363">
        <w:rPr>
          <w:rFonts w:asciiTheme="minorHAnsi" w:eastAsia="Calibri" w:hAnsiTheme="minorHAnsi"/>
        </w:rPr>
        <w:t xml:space="preserve">. Estas realocações de curto prazo, </w:t>
      </w:r>
      <w:r w:rsidR="00D35C34" w:rsidRPr="007F3363">
        <w:rPr>
          <w:rFonts w:asciiTheme="minorHAnsi" w:eastAsia="Calibri" w:hAnsiTheme="minorHAnsi"/>
        </w:rPr>
        <w:t xml:space="preserve">entretanto, deverão </w:t>
      </w:r>
      <w:r w:rsidR="00F30E31" w:rsidRPr="007F3363">
        <w:rPr>
          <w:rFonts w:asciiTheme="minorHAnsi" w:eastAsia="Calibri" w:hAnsiTheme="minorHAnsi"/>
        </w:rPr>
        <w:t xml:space="preserve">estar alinhadas com a estratégia de investimento de longo prazo e </w:t>
      </w:r>
      <w:r w:rsidR="00D35C34" w:rsidRPr="007F3363">
        <w:rPr>
          <w:rFonts w:asciiTheme="minorHAnsi" w:eastAsia="Calibri" w:hAnsiTheme="minorHAnsi"/>
        </w:rPr>
        <w:t>ser</w:t>
      </w:r>
      <w:r w:rsidRPr="007F3363">
        <w:rPr>
          <w:rFonts w:asciiTheme="minorHAnsi" w:eastAsia="Calibri" w:hAnsiTheme="minorHAnsi"/>
        </w:rPr>
        <w:t xml:space="preserve"> analisadas levando-se em consideração os custos operacionais aplicáveis. </w:t>
      </w:r>
    </w:p>
    <w:p w:rsidR="008C38BD" w:rsidRPr="007F3363" w:rsidRDefault="008C38BD" w:rsidP="00CD207C">
      <w:pPr>
        <w:pStyle w:val="Ttulo2"/>
        <w:rPr>
          <w:rFonts w:asciiTheme="minorHAnsi" w:hAnsiTheme="minorHAnsi"/>
          <w:color w:val="auto"/>
          <w:sz w:val="24"/>
          <w:szCs w:val="24"/>
        </w:rPr>
      </w:pPr>
      <w:bookmarkStart w:id="37" w:name="_Toc494961931"/>
      <w:r w:rsidRPr="007F3363">
        <w:rPr>
          <w:rFonts w:asciiTheme="minorHAnsi" w:hAnsiTheme="minorHAnsi"/>
          <w:color w:val="auto"/>
          <w:sz w:val="24"/>
          <w:szCs w:val="24"/>
        </w:rPr>
        <w:t>Alocação Objetivo</w:t>
      </w:r>
      <w:bookmarkEnd w:id="37"/>
    </w:p>
    <w:p w:rsidR="00F55736" w:rsidRPr="00177E7C" w:rsidRDefault="00F55736" w:rsidP="00F55736">
      <w:pPr>
        <w:ind w:firstLine="720"/>
        <w:rPr>
          <w:rFonts w:asciiTheme="minorHAnsi" w:hAnsiTheme="minorHAnsi"/>
          <w:lang w:eastAsia="en-US"/>
        </w:rPr>
      </w:pPr>
      <w:bookmarkStart w:id="38" w:name="_Toc494961932"/>
      <w:r w:rsidRPr="00177E7C">
        <w:rPr>
          <w:rFonts w:asciiTheme="minorHAnsi" w:hAnsiTheme="minorHAnsi"/>
          <w:lang w:eastAsia="en-US"/>
        </w:rPr>
        <w:t xml:space="preserve">A previsão para a Selic (segundo Relatório Focus de 09/09/18 – Mediana Top </w:t>
      </w:r>
      <w:proofErr w:type="gramStart"/>
      <w:r w:rsidRPr="00177E7C">
        <w:rPr>
          <w:rFonts w:asciiTheme="minorHAnsi" w:hAnsiTheme="minorHAnsi"/>
          <w:lang w:eastAsia="en-US"/>
        </w:rPr>
        <w:t>5</w:t>
      </w:r>
      <w:proofErr w:type="gramEnd"/>
      <w:r w:rsidRPr="00177E7C">
        <w:rPr>
          <w:rFonts w:asciiTheme="minorHAnsi" w:hAnsiTheme="minorHAnsi"/>
          <w:lang w:eastAsia="en-US"/>
        </w:rPr>
        <w:t>) é de que esta encerre o ano de 2018 em 6,50%. Para 2019, a expectativa é de alta, devendo encerrar o ano em 8,00%. Ou seja, no momento, projeta-se que o COPOM decida por manter a taxa SELIC estável. Para 2019, deve haver alguma volatilidade, face às incertezas político econômicas.</w:t>
      </w:r>
    </w:p>
    <w:p w:rsidR="00F55736" w:rsidRPr="00177E7C" w:rsidRDefault="00F55736" w:rsidP="00F55736">
      <w:pPr>
        <w:ind w:firstLine="720"/>
        <w:rPr>
          <w:rFonts w:asciiTheme="minorHAnsi" w:hAnsiTheme="minorHAnsi"/>
          <w:lang w:eastAsia="en-US"/>
        </w:rPr>
      </w:pPr>
      <w:r w:rsidRPr="00177E7C">
        <w:rPr>
          <w:rFonts w:asciiTheme="minorHAnsi" w:hAnsiTheme="minorHAnsi"/>
          <w:lang w:eastAsia="en-US"/>
        </w:rPr>
        <w:t xml:space="preserve">Levando-se em conta o cenário-político econômico do Brasil, as perspectivas para a inflação e taxa de juros, e a relação risco vs. retorno dos ativos, os recursos do RPPS – </w:t>
      </w:r>
      <w:proofErr w:type="gramStart"/>
      <w:r w:rsidRPr="00177E7C">
        <w:rPr>
          <w:rFonts w:asciiTheme="minorHAnsi" w:hAnsiTheme="minorHAnsi"/>
          <w:lang w:eastAsia="en-US"/>
        </w:rPr>
        <w:t>São Nicolau terão</w:t>
      </w:r>
      <w:proofErr w:type="gramEnd"/>
      <w:r w:rsidRPr="00177E7C">
        <w:rPr>
          <w:rFonts w:asciiTheme="minorHAnsi" w:hAnsiTheme="minorHAnsi"/>
          <w:lang w:eastAsia="en-US"/>
        </w:rPr>
        <w:t xml:space="preserve"> como alocação estratégica uma carteira moderada, alocando cerca de 80% de seus recursos na Renda Fixa e aproximadamente 20% de seus recursos em Renda Variável.</w:t>
      </w:r>
    </w:p>
    <w:p w:rsidR="00F55736" w:rsidRPr="00177E7C" w:rsidRDefault="00F55736" w:rsidP="00F55736">
      <w:pPr>
        <w:ind w:firstLine="720"/>
        <w:rPr>
          <w:rFonts w:asciiTheme="minorHAnsi" w:hAnsiTheme="minorHAnsi"/>
          <w:lang w:eastAsia="en-US"/>
        </w:rPr>
      </w:pPr>
      <w:r w:rsidRPr="00177E7C">
        <w:rPr>
          <w:rFonts w:asciiTheme="minorHAnsi" w:hAnsiTheme="minorHAnsi"/>
          <w:lang w:eastAsia="en-US"/>
        </w:rPr>
        <w:t xml:space="preserve">A estratégia de alocação será, conforme </w:t>
      </w:r>
      <w:proofErr w:type="gramStart"/>
      <w:r w:rsidRPr="00177E7C">
        <w:rPr>
          <w:rFonts w:asciiTheme="minorHAnsi" w:hAnsiTheme="minorHAnsi"/>
          <w:lang w:eastAsia="en-US"/>
        </w:rPr>
        <w:t>ativo,</w:t>
      </w:r>
      <w:proofErr w:type="gramEnd"/>
      <w:r w:rsidRPr="00177E7C">
        <w:rPr>
          <w:rFonts w:asciiTheme="minorHAnsi" w:hAnsiTheme="minorHAnsi"/>
          <w:lang w:eastAsia="en-US"/>
        </w:rPr>
        <w:t xml:space="preserve"> descritas abaixo, ressaltando que a alocação objetivo é uma estimativa para o ano de 2019, não uma regra de aplicação, uma vez que o mercado é bastante dinâmico.</w:t>
      </w:r>
    </w:p>
    <w:p w:rsidR="00CE3812" w:rsidRPr="007F3363" w:rsidRDefault="00CE3812" w:rsidP="00CE3812">
      <w:pPr>
        <w:ind w:firstLine="720"/>
      </w:pPr>
      <w:r w:rsidRPr="007F3363">
        <w:rPr>
          <w:rFonts w:ascii="Cambria" w:hAnsi="Cambria" w:cs="Cambria"/>
          <w:b/>
          <w:bCs/>
        </w:rPr>
        <w:lastRenderedPageBreak/>
        <w:t xml:space="preserve">Resolução 3.922/2010 </w:t>
      </w:r>
      <w:bookmarkStart w:id="39" w:name="__DdeLink__5545_999324790"/>
      <w:r w:rsidRPr="007F3363">
        <w:rPr>
          <w:rFonts w:ascii="Cambria" w:hAnsi="Cambria" w:cs="Cambria"/>
          <w:b/>
          <w:bCs/>
        </w:rPr>
        <w:t>com as alterações da Resolução 4.604 de 19/10/2017</w:t>
      </w:r>
      <w:bookmarkEnd w:id="39"/>
      <w:r w:rsidRPr="007F3363">
        <w:rPr>
          <w:rFonts w:ascii="Cambria" w:hAnsi="Cambria" w:cs="Cambria"/>
          <w:b/>
          <w:bCs/>
        </w:rPr>
        <w:t xml:space="preserve"> - Art. 7º: </w:t>
      </w:r>
      <w:r w:rsidRPr="007F3363">
        <w:rPr>
          <w:rFonts w:ascii="Cambria" w:hAnsi="Cambria" w:cs="Cambria"/>
        </w:rPr>
        <w:t>No segmento de</w:t>
      </w:r>
      <w:r w:rsidRPr="007F3363">
        <w:rPr>
          <w:rFonts w:ascii="Cambria" w:hAnsi="Cambria" w:cs="Cambria"/>
          <w:b/>
          <w:bCs/>
        </w:rPr>
        <w:t xml:space="preserve"> renda fixa</w:t>
      </w:r>
      <w:r w:rsidRPr="007F3363">
        <w:rPr>
          <w:rFonts w:ascii="Cambria" w:hAnsi="Cambria" w:cs="Cambria"/>
        </w:rPr>
        <w:t>, as aplicações dos recursos dos regimes próprios de previdência social subordinam-se aos seguintes limites:</w:t>
      </w:r>
    </w:p>
    <w:p w:rsidR="00CE3812" w:rsidRPr="007F3363" w:rsidRDefault="00CE3812" w:rsidP="00CE3812">
      <w:pPr>
        <w:ind w:firstLine="720"/>
      </w:pPr>
      <w:r w:rsidRPr="007F3363">
        <w:rPr>
          <w:rFonts w:ascii="Cambria" w:hAnsi="Cambria" w:cs="Cambria"/>
          <w:b/>
          <w:bCs/>
        </w:rPr>
        <w:t>I - até 100% (cem por cento) em:</w:t>
      </w:r>
    </w:p>
    <w:p w:rsidR="00CE3812" w:rsidRPr="007F3363" w:rsidRDefault="00CE3812" w:rsidP="00CE3812">
      <w:pPr>
        <w:ind w:firstLine="720"/>
        <w:rPr>
          <w:rFonts w:ascii="Cambria" w:hAnsi="Cambria" w:cs="Cambria"/>
        </w:rPr>
      </w:pPr>
      <w:r w:rsidRPr="007F3363">
        <w:rPr>
          <w:rFonts w:ascii="Cambria" w:hAnsi="Cambria" w:cs="Cambria"/>
        </w:rPr>
        <w:t>b) cotas de fundos de investimento classificados como renda fixa com sufixo “referenciado”, conforme regulamentação estabelecida pela Comissão de Valores Mobiliários (CVM), constituídos sob a forma de condomínio aberto, que apliquem seus recursos exclusivamente em títulos definidos na alínea “a”, ou compromissadas lastreadas nesses títulos, e cuja política de investimento assegure que o patrimônio líquido esteja investido em ativos que acompanham índice de renda fixa não atrelado à taxa de juros de um dia, cuja carteira teórica seja composta exclusivamente por títulos públicos (fundos de renda fixa);</w:t>
      </w:r>
    </w:p>
    <w:p w:rsidR="00CE3812" w:rsidRPr="007F3363" w:rsidRDefault="00CE3812" w:rsidP="00CE3812">
      <w:pPr>
        <w:ind w:firstLine="720"/>
        <w:rPr>
          <w:rFonts w:ascii="Cambria" w:hAnsi="Cambria" w:cs="Cambria"/>
        </w:rPr>
      </w:pPr>
      <w:r w:rsidRPr="007F3363">
        <w:rPr>
          <w:rFonts w:ascii="Cambria" w:hAnsi="Cambria" w:cs="Cambria"/>
        </w:rPr>
        <w:t>c) cotas de fundos de investimento em índice de mercado de renda fixa, negociáveis em bolsa de valores, conforme regulamentação estabelecida pela CVM, cuja carteira seja composta exclusivamente por títulos públicos federais, ou compromissadas lastreadas nesses títulos, que busquem refletir as variações e rentabilidade de índice de renda fixa não atrelados à taxa de juros de um dia, cuja carteira teórica seja composta exclusivamente por títulos públicos (fundos de índice de renda fixa);</w:t>
      </w:r>
    </w:p>
    <w:p w:rsidR="00CE3812" w:rsidRPr="007F3363" w:rsidRDefault="00CE3812" w:rsidP="00CE3812">
      <w:pPr>
        <w:ind w:firstLine="720"/>
        <w:rPr>
          <w:rFonts w:ascii="Cambria" w:hAnsi="Cambria" w:cs="Cambria"/>
          <w:u w:val="single"/>
        </w:rPr>
      </w:pPr>
      <w:r w:rsidRPr="007F3363">
        <w:rPr>
          <w:rFonts w:ascii="Cambria" w:hAnsi="Cambria" w:cs="Cambria"/>
          <w:u w:val="single"/>
        </w:rPr>
        <w:t xml:space="preserve">Estratégia: (tanto para fundos abertos como para </w:t>
      </w:r>
      <w:proofErr w:type="spellStart"/>
      <w:r w:rsidRPr="007F3363">
        <w:rPr>
          <w:rFonts w:ascii="Cambria" w:hAnsi="Cambria" w:cs="Cambria"/>
          <w:u w:val="single"/>
        </w:rPr>
        <w:t>ETF's</w:t>
      </w:r>
      <w:proofErr w:type="spellEnd"/>
      <w:r w:rsidRPr="007F3363">
        <w:rPr>
          <w:rFonts w:ascii="Cambria" w:hAnsi="Cambria" w:cs="Cambria"/>
          <w:u w:val="single"/>
        </w:rPr>
        <w:t>)</w:t>
      </w:r>
    </w:p>
    <w:p w:rsidR="00CE3812" w:rsidRPr="007F3363" w:rsidRDefault="00CE3812" w:rsidP="00CE3812">
      <w:pPr>
        <w:ind w:firstLine="720"/>
      </w:pPr>
      <w:r w:rsidRPr="007F3363">
        <w:rPr>
          <w:rFonts w:ascii="Cambria" w:hAnsi="Cambria" w:cs="Cambria"/>
          <w:u w:val="single"/>
        </w:rPr>
        <w:t xml:space="preserve">Estratégia de Investimento em Cenário de expectativa de alta de Taxa de Juro: </w:t>
      </w:r>
      <w:r w:rsidRPr="007F3363">
        <w:rPr>
          <w:rFonts w:ascii="Cambria" w:hAnsi="Cambria" w:cs="Cambria"/>
        </w:rPr>
        <w:t xml:space="preserve">Aumento de alocação em Fundos Pós Fixados, indexados a SELIC. Estratégia de Desinvestimento em Cenário de expectativa de Alta de taxa de Juro: Saída de Fundos Mais Longos, como </w:t>
      </w:r>
      <w:proofErr w:type="gramStart"/>
      <w:r w:rsidRPr="007F3363">
        <w:rPr>
          <w:rFonts w:ascii="Cambria" w:hAnsi="Cambria" w:cs="Cambria"/>
        </w:rPr>
        <w:t>o IMA</w:t>
      </w:r>
      <w:proofErr w:type="gramEnd"/>
      <w:r w:rsidRPr="007F3363">
        <w:rPr>
          <w:rFonts w:ascii="Cambria" w:hAnsi="Cambria" w:cs="Cambria"/>
        </w:rPr>
        <w:t xml:space="preserve">-B5+; IDKA-20 e pré fixados mais longos, como IRF-M e IRF-M1+. Demais índices, dependerão do cenário momentâneo. </w:t>
      </w:r>
    </w:p>
    <w:p w:rsidR="00CE3812" w:rsidRPr="007F3363" w:rsidRDefault="00CE3812" w:rsidP="00CE3812">
      <w:pPr>
        <w:ind w:firstLine="737"/>
      </w:pPr>
      <w:r w:rsidRPr="007F3363">
        <w:rPr>
          <w:rFonts w:ascii="Cambria" w:hAnsi="Cambria" w:cs="Cambria"/>
          <w:u w:val="single"/>
        </w:rPr>
        <w:t xml:space="preserve">Estratégia de Investimento Cenário de expectativa de queda da Taxa de Juro: </w:t>
      </w:r>
      <w:r w:rsidRPr="007F3363">
        <w:rPr>
          <w:rFonts w:ascii="Cambria" w:hAnsi="Cambria" w:cs="Cambria"/>
        </w:rPr>
        <w:t xml:space="preserve">Alongamento do prazo total da carteira, aumentando a exposição em Fundos com componentes </w:t>
      </w:r>
      <w:proofErr w:type="gramStart"/>
      <w:r w:rsidRPr="007F3363">
        <w:rPr>
          <w:rFonts w:ascii="Cambria" w:hAnsi="Cambria" w:cs="Cambria"/>
        </w:rPr>
        <w:t>pré fixados</w:t>
      </w:r>
      <w:proofErr w:type="gramEnd"/>
      <w:r w:rsidRPr="007F3363">
        <w:rPr>
          <w:rFonts w:ascii="Cambria" w:hAnsi="Cambria" w:cs="Cambria"/>
        </w:rPr>
        <w:t>, como IMA-B5+, IRF-M1+ e IRF-M. Estratégia de desinvestimento em Cenário de expectativa de queda na taxa de juro: Redução na exposição de taxas pós fixadas, após o ajustamento. Manutenção de fundos que reduzam a volatilidade da carteira, servindo para cobrir as obrigações do Fundo.</w:t>
      </w:r>
    </w:p>
    <w:p w:rsidR="00CE3812" w:rsidRPr="007F3363" w:rsidRDefault="00CE3812" w:rsidP="00CE3812">
      <w:pPr>
        <w:ind w:firstLine="737"/>
      </w:pPr>
      <w:r w:rsidRPr="007F3363">
        <w:rPr>
          <w:rFonts w:ascii="Cambria" w:hAnsi="Cambria" w:cs="Cambria"/>
        </w:rPr>
        <w:t>Num cenário de incerteza, a carteira deverá ser mantida relativamente curta, aproveitando oportunidades pontuais.</w:t>
      </w:r>
    </w:p>
    <w:p w:rsidR="00CE3812" w:rsidRPr="007F3363" w:rsidRDefault="00CE3812" w:rsidP="00CE3812">
      <w:pPr>
        <w:ind w:firstLine="737"/>
        <w:rPr>
          <w:rFonts w:ascii="Cambria" w:hAnsi="Cambria" w:cs="Cambria"/>
        </w:rPr>
      </w:pPr>
      <w:r w:rsidRPr="007F3363">
        <w:rPr>
          <w:rFonts w:ascii="Cambria" w:hAnsi="Cambria" w:cs="Cambria"/>
          <w:u w:val="single"/>
        </w:rPr>
        <w:lastRenderedPageBreak/>
        <w:t xml:space="preserve">Alocação Objetivo: </w:t>
      </w:r>
      <w:r w:rsidRPr="007F3363">
        <w:rPr>
          <w:rFonts w:ascii="Cambria" w:hAnsi="Cambria" w:cs="Cambria"/>
          <w:b/>
          <w:bCs/>
        </w:rPr>
        <w:t xml:space="preserve">60% </w:t>
      </w:r>
      <w:r w:rsidRPr="007F3363">
        <w:rPr>
          <w:rFonts w:ascii="Cambria" w:hAnsi="Cambria" w:cs="Cambria"/>
        </w:rPr>
        <w:t xml:space="preserve">durante o ano de 2018, podendo chegar a 100%, dependendo do cenário acima descrito. </w:t>
      </w:r>
    </w:p>
    <w:p w:rsidR="00CE3812" w:rsidRPr="007F3363" w:rsidRDefault="00CE3812" w:rsidP="00CE3812">
      <w:pPr>
        <w:ind w:firstLine="737"/>
      </w:pPr>
      <w:r w:rsidRPr="007F3363">
        <w:rPr>
          <w:rFonts w:ascii="Cambria" w:hAnsi="Cambria" w:cs="Cambria"/>
          <w:u w:val="single"/>
        </w:rPr>
        <w:t>Marcação de preço a mercado.</w:t>
      </w:r>
    </w:p>
    <w:p w:rsidR="00CE3812" w:rsidRPr="007F3363" w:rsidRDefault="00CE3812" w:rsidP="00CE3812">
      <w:pPr>
        <w:ind w:firstLine="737"/>
        <w:rPr>
          <w:rFonts w:ascii="Cambria" w:hAnsi="Cambria" w:cs="Cambria"/>
        </w:rPr>
      </w:pPr>
    </w:p>
    <w:p w:rsidR="00CE3812" w:rsidRPr="007F3363" w:rsidRDefault="00CE3812" w:rsidP="00CE3812">
      <w:pPr>
        <w:ind w:firstLine="737"/>
      </w:pPr>
      <w:r w:rsidRPr="007F3363">
        <w:rPr>
          <w:rFonts w:ascii="Cambria" w:hAnsi="Cambria" w:cs="Cambria"/>
          <w:b/>
          <w:bCs/>
        </w:rPr>
        <w:t>Resolução 3.922/2010 com as alterações da Resolução 4.604 de 19/10/2017 - Art. 7º:</w:t>
      </w:r>
      <w:r w:rsidRPr="007F3363">
        <w:rPr>
          <w:rFonts w:ascii="Cambria" w:hAnsi="Cambria" w:cs="Cambria"/>
        </w:rPr>
        <w:t xml:space="preserve"> No segmento de renda fixa, as aplicações dos recursos dos regimes próprios de previdência social subordinam-se aos seguintes limites:</w:t>
      </w:r>
    </w:p>
    <w:p w:rsidR="00CE3812" w:rsidRPr="007F3363" w:rsidRDefault="00CE3812" w:rsidP="00CE3812">
      <w:pPr>
        <w:spacing w:after="0"/>
        <w:ind w:firstLine="737"/>
        <w:jc w:val="left"/>
      </w:pPr>
      <w:r w:rsidRPr="007F3363">
        <w:rPr>
          <w:rFonts w:ascii="Cambria" w:hAnsi="Cambria" w:cs="Cambria"/>
          <w:b/>
          <w:bCs/>
          <w:lang w:eastAsia="en-US"/>
        </w:rPr>
        <w:t xml:space="preserve">III - até 60% (sessenta por cento) em: </w:t>
      </w:r>
    </w:p>
    <w:p w:rsidR="00CE3812" w:rsidRPr="007F3363" w:rsidRDefault="00CE3812" w:rsidP="00CE3812">
      <w:pPr>
        <w:ind w:firstLine="737"/>
        <w:rPr>
          <w:rFonts w:ascii="Cambria" w:hAnsi="Cambria" w:cs="Cambria"/>
          <w:lang w:eastAsia="en-US"/>
        </w:rPr>
      </w:pPr>
      <w:r w:rsidRPr="007F3363">
        <w:rPr>
          <w:rFonts w:ascii="Cambria" w:hAnsi="Cambria" w:cs="Cambria"/>
          <w:lang w:eastAsia="en-US"/>
        </w:rPr>
        <w:t xml:space="preserve">a) cotas de fundos de investimento classificados como renda fixa com sufixo “referenciado”, conforme regulamentação estabelecida pela CVM, constituídos sob a forma de condomínio aberto e cuja política de investimento assegure que o patrimônio líquido esteja investido em ativos que acompanham índice de renda fixa não atrelado à taxa de juros de um dia (fundos de renda fixa); </w:t>
      </w:r>
    </w:p>
    <w:p w:rsidR="00CE3812" w:rsidRPr="007F3363" w:rsidRDefault="00CE3812" w:rsidP="00CE3812">
      <w:pPr>
        <w:ind w:firstLine="737"/>
        <w:rPr>
          <w:rFonts w:ascii="Cambria" w:hAnsi="Cambria" w:cs="Cambria"/>
          <w:lang w:eastAsia="en-US"/>
        </w:rPr>
      </w:pPr>
      <w:r w:rsidRPr="007F3363">
        <w:rPr>
          <w:rFonts w:ascii="Cambria" w:hAnsi="Cambria" w:cs="Cambria"/>
          <w:lang w:eastAsia="en-US"/>
        </w:rPr>
        <w:t xml:space="preserve">b) cotas de fundos de investimento em índice de mercado de renda fixa, negociáveis em bolsa de valores, compostos por ativos financeiros que busquem refletir as variações e rentabilidade de índice de renda fixa cuja carteira teórica seja composta por títulos não atrelados à taxa de juros de um dia, conforme regulamentação estabelecida pela CVM (fundos de índice de renda fixa); </w:t>
      </w:r>
    </w:p>
    <w:p w:rsidR="00CE3812" w:rsidRPr="007F3363" w:rsidRDefault="00CE3812" w:rsidP="00CE3812">
      <w:pPr>
        <w:ind w:firstLine="737"/>
      </w:pPr>
      <w:r w:rsidRPr="007F3363">
        <w:rPr>
          <w:rFonts w:ascii="Cambria" w:hAnsi="Cambria" w:cs="Cambria"/>
          <w:u w:val="single"/>
        </w:rPr>
        <w:t xml:space="preserve">Estratégia de Investimento em Cenário de expectativa de alta de Taxa de Juro: </w:t>
      </w:r>
      <w:r w:rsidRPr="007F3363">
        <w:rPr>
          <w:rFonts w:ascii="Cambria" w:hAnsi="Cambria" w:cs="Cambria"/>
        </w:rPr>
        <w:t xml:space="preserve">Aumento de alocação em Fundos Pós Fixados, indexados a SELIC. Estratégia de Desinvestimento em Cenário de expectativa de Alta de taxa de Juro: Saída de Fundos Mais Longos, como </w:t>
      </w:r>
      <w:proofErr w:type="gramStart"/>
      <w:r w:rsidRPr="007F3363">
        <w:rPr>
          <w:rFonts w:ascii="Cambria" w:hAnsi="Cambria" w:cs="Cambria"/>
        </w:rPr>
        <w:t>o IMA</w:t>
      </w:r>
      <w:proofErr w:type="gramEnd"/>
      <w:r w:rsidRPr="007F3363">
        <w:rPr>
          <w:rFonts w:ascii="Cambria" w:hAnsi="Cambria" w:cs="Cambria"/>
        </w:rPr>
        <w:t xml:space="preserve">-B5+; IDKA-20 e pré fixados mais longos, como IRF-M e IRF-M1+. Demais índices, dependerão do cenário momentâneo. </w:t>
      </w:r>
    </w:p>
    <w:p w:rsidR="00CE3812" w:rsidRPr="007F3363" w:rsidRDefault="00CE3812" w:rsidP="00CE3812">
      <w:pPr>
        <w:ind w:firstLine="737"/>
      </w:pPr>
      <w:r w:rsidRPr="007F3363">
        <w:rPr>
          <w:rFonts w:ascii="Cambria" w:hAnsi="Cambria" w:cs="Cambria"/>
          <w:u w:val="single"/>
        </w:rPr>
        <w:t>Estratégia de Investimento Cenário de expectativa de queda da Taxa de Juro:</w:t>
      </w:r>
      <w:r w:rsidRPr="007F3363">
        <w:rPr>
          <w:rFonts w:ascii="Cambria" w:hAnsi="Cambria" w:cs="Cambria"/>
        </w:rPr>
        <w:t xml:space="preserve"> Alongamento do prazo total da carteira, aumentando a exposição em Fundos com componentes </w:t>
      </w:r>
      <w:proofErr w:type="gramStart"/>
      <w:r w:rsidRPr="007F3363">
        <w:rPr>
          <w:rFonts w:ascii="Cambria" w:hAnsi="Cambria" w:cs="Cambria"/>
        </w:rPr>
        <w:t>pré fixados</w:t>
      </w:r>
      <w:proofErr w:type="gramEnd"/>
      <w:r w:rsidRPr="007F3363">
        <w:rPr>
          <w:rFonts w:ascii="Cambria" w:hAnsi="Cambria" w:cs="Cambria"/>
        </w:rPr>
        <w:t>, como IMA-B5+, IRF-M1+ e IRF-M. Estratégia de desinvestimento em Cenário de expectativa de queda na taxa de juro: Redução na exposição de taxas pós fixadas, após o ajustamento. Manutenção de fundos que reduzam a volatilidade da carteira, servindo para cobrir as obrigações do Fundo.</w:t>
      </w:r>
    </w:p>
    <w:p w:rsidR="00CE3812" w:rsidRPr="007F3363" w:rsidRDefault="00CE3812" w:rsidP="00CE3812">
      <w:pPr>
        <w:ind w:firstLine="737"/>
      </w:pPr>
      <w:r w:rsidRPr="007F3363">
        <w:rPr>
          <w:rFonts w:ascii="Cambria" w:hAnsi="Cambria" w:cs="Cambria"/>
        </w:rPr>
        <w:t>Num cenário de incerteza, a carteira deverá ser mantida relativamente curta, aproveitando oportunidades pontuais.</w:t>
      </w:r>
    </w:p>
    <w:p w:rsidR="00CE3812" w:rsidRPr="007F3363" w:rsidRDefault="00CE3812" w:rsidP="00CE3812">
      <w:pPr>
        <w:ind w:firstLine="737"/>
        <w:rPr>
          <w:rFonts w:ascii="Cambria" w:hAnsi="Cambria" w:cs="Cambria"/>
        </w:rPr>
      </w:pPr>
      <w:r w:rsidRPr="007F3363">
        <w:rPr>
          <w:rFonts w:ascii="Cambria" w:hAnsi="Cambria" w:cs="Cambria"/>
          <w:u w:val="single"/>
        </w:rPr>
        <w:lastRenderedPageBreak/>
        <w:t xml:space="preserve">Alocação Objetivo: </w:t>
      </w:r>
      <w:r w:rsidRPr="007F3363">
        <w:rPr>
          <w:rFonts w:ascii="Cambria" w:hAnsi="Cambria" w:cs="Cambria"/>
          <w:b/>
          <w:bCs/>
        </w:rPr>
        <w:t>5%</w:t>
      </w:r>
      <w:r w:rsidRPr="007F3363">
        <w:rPr>
          <w:rFonts w:ascii="Cambria" w:hAnsi="Cambria" w:cs="Cambria"/>
        </w:rPr>
        <w:t xml:space="preserve"> durante o ano de 2018, podendo chegar a 40%, dependendo do cenário acima descrito. </w:t>
      </w:r>
    </w:p>
    <w:p w:rsidR="00CE3812" w:rsidRPr="007F3363" w:rsidRDefault="00CE3812" w:rsidP="00CE3812">
      <w:pPr>
        <w:ind w:firstLine="737"/>
      </w:pPr>
      <w:r w:rsidRPr="007F3363">
        <w:rPr>
          <w:rFonts w:ascii="Cambria" w:hAnsi="Cambria" w:cs="Cambria"/>
          <w:u w:val="single"/>
        </w:rPr>
        <w:t>Marcação de preço a mercado.</w:t>
      </w:r>
    </w:p>
    <w:p w:rsidR="00CE3812" w:rsidRPr="007F3363" w:rsidRDefault="00CE3812" w:rsidP="00CE3812">
      <w:pPr>
        <w:ind w:firstLine="737"/>
      </w:pPr>
      <w:r w:rsidRPr="007F3363">
        <w:rPr>
          <w:rFonts w:ascii="Cambria" w:hAnsi="Cambria" w:cs="Cambria"/>
          <w:b/>
          <w:bCs/>
        </w:rPr>
        <w:t>Resolução 3.922/2010 com as alterações da Resolução 4.604 de 19/10/2017 - Art. 7º:</w:t>
      </w:r>
      <w:r w:rsidRPr="007F3363">
        <w:rPr>
          <w:rFonts w:ascii="Cambria" w:hAnsi="Cambria" w:cs="Cambria"/>
        </w:rPr>
        <w:t xml:space="preserve"> No segmento de renda fixa, as aplicações dos recursos dos regimes próprios de previdência social subordinam-se aos seguintes limites:</w:t>
      </w:r>
    </w:p>
    <w:p w:rsidR="00CE3812" w:rsidRPr="007F3363" w:rsidRDefault="00CE3812" w:rsidP="00CE3812">
      <w:pPr>
        <w:spacing w:after="0"/>
        <w:ind w:firstLine="737"/>
        <w:jc w:val="left"/>
      </w:pPr>
      <w:r w:rsidRPr="007F3363">
        <w:rPr>
          <w:rFonts w:ascii="Cambria" w:hAnsi="Cambria" w:cs="Cambria"/>
          <w:b/>
          <w:bCs/>
          <w:lang w:eastAsia="en-US"/>
        </w:rPr>
        <w:t xml:space="preserve">IV - até 40% (quarenta por cento) em: </w:t>
      </w:r>
    </w:p>
    <w:p w:rsidR="00CE3812" w:rsidRPr="007F3363" w:rsidRDefault="00CE3812" w:rsidP="00CE3812">
      <w:pPr>
        <w:ind w:firstLine="737"/>
        <w:rPr>
          <w:rFonts w:ascii="Cambria" w:hAnsi="Cambria" w:cs="Cambria"/>
          <w:lang w:eastAsia="en-US"/>
        </w:rPr>
      </w:pPr>
      <w:r w:rsidRPr="007F3363">
        <w:rPr>
          <w:rFonts w:ascii="Cambria" w:hAnsi="Cambria" w:cs="Cambria"/>
          <w:lang w:eastAsia="en-US"/>
        </w:rPr>
        <w:t xml:space="preserve">a) cotas de fundos de investimento classificados como renda fixa constituídos sob a forma de condomínio aberto, conforme regulamentação estabelecida pela CVM (fundos de renda fixa); </w:t>
      </w:r>
    </w:p>
    <w:p w:rsidR="00CE3812" w:rsidRPr="007F3363" w:rsidRDefault="00CE3812" w:rsidP="00CE3812">
      <w:pPr>
        <w:ind w:firstLine="737"/>
        <w:rPr>
          <w:rFonts w:ascii="Cambria" w:hAnsi="Cambria" w:cs="Cambria"/>
          <w:lang w:eastAsia="en-US"/>
        </w:rPr>
      </w:pPr>
      <w:r w:rsidRPr="007F3363">
        <w:rPr>
          <w:rFonts w:ascii="Cambria" w:hAnsi="Cambria" w:cs="Cambria"/>
          <w:lang w:eastAsia="en-US"/>
        </w:rPr>
        <w:t xml:space="preserve">b) cotas de fundos de investimento em índice de mercado de renda fixa, negociáveis em bolsa de valores, compostos por ativos financeiros que busquem refletir as variações e rentabilidade de índices de renda fixa, conforme regulamentação estabelecida pela CVM (fundos de índice de renda fixa); </w:t>
      </w:r>
    </w:p>
    <w:p w:rsidR="00CE3812" w:rsidRPr="007F3363" w:rsidRDefault="00CE3812" w:rsidP="00CE3812">
      <w:pPr>
        <w:ind w:firstLine="737"/>
      </w:pPr>
      <w:r w:rsidRPr="007F3363">
        <w:rPr>
          <w:rFonts w:ascii="Cambria" w:hAnsi="Cambria" w:cs="Cambria"/>
          <w:u w:val="single"/>
        </w:rPr>
        <w:t xml:space="preserve">Estratégia de Investimento em Cenário de expectativa de alta de Taxa de Juro: </w:t>
      </w:r>
      <w:r w:rsidRPr="007F3363">
        <w:rPr>
          <w:rFonts w:ascii="Cambria" w:hAnsi="Cambria" w:cs="Cambria"/>
        </w:rPr>
        <w:t xml:space="preserve">Aumento de alocação em Fundos Pós Fixados, indexados a SELIC ou a taxa DI. Estratégia de Desinvestimento em Cenário de expectativa de Alta de taxa de Juro: Saída de Fundos Mais Longos, como </w:t>
      </w:r>
      <w:proofErr w:type="gramStart"/>
      <w:r w:rsidRPr="007F3363">
        <w:rPr>
          <w:rFonts w:ascii="Cambria" w:hAnsi="Cambria" w:cs="Cambria"/>
        </w:rPr>
        <w:t>o IMA</w:t>
      </w:r>
      <w:proofErr w:type="gramEnd"/>
      <w:r w:rsidRPr="007F3363">
        <w:rPr>
          <w:rFonts w:ascii="Cambria" w:hAnsi="Cambria" w:cs="Cambria"/>
        </w:rPr>
        <w:t xml:space="preserve">-B5+; IDKA-20 e pré fixados mais longos, como IRF-M e IRF-M1+. Demais índices, dependerão do cenário momentâneo. </w:t>
      </w:r>
    </w:p>
    <w:p w:rsidR="00CE3812" w:rsidRPr="007F3363" w:rsidRDefault="00CE3812" w:rsidP="00CE3812">
      <w:pPr>
        <w:ind w:firstLine="737"/>
      </w:pPr>
      <w:r w:rsidRPr="007F3363">
        <w:rPr>
          <w:rFonts w:ascii="Cambria" w:hAnsi="Cambria" w:cs="Cambria"/>
          <w:u w:val="single"/>
        </w:rPr>
        <w:t>Estratégia de Investimento Cenário de expectativa de queda da Taxa de Juro:</w:t>
      </w:r>
      <w:r w:rsidRPr="007F3363">
        <w:rPr>
          <w:rFonts w:ascii="Cambria" w:hAnsi="Cambria" w:cs="Cambria"/>
        </w:rPr>
        <w:t xml:space="preserve"> Alongamento do prazo total da carteira, aumentando a exposição em Fundos com componentes </w:t>
      </w:r>
      <w:proofErr w:type="gramStart"/>
      <w:r w:rsidRPr="007F3363">
        <w:rPr>
          <w:rFonts w:ascii="Cambria" w:hAnsi="Cambria" w:cs="Cambria"/>
        </w:rPr>
        <w:t>pré fixados</w:t>
      </w:r>
      <w:proofErr w:type="gramEnd"/>
      <w:r w:rsidRPr="007F3363">
        <w:rPr>
          <w:rFonts w:ascii="Cambria" w:hAnsi="Cambria" w:cs="Cambria"/>
        </w:rPr>
        <w:t>, como IMA-B5+, IRF-M1+ e IRF-M. Estratégia de desinvestimento em Cenário de expectativa de queda na taxa de juro: Redução na exposição de taxas pós fixadas, após o ajustamento. Manutenção de fundos que reduzam a volatilidade da carteira, servindo para cobrir as obrigações do Fundo.</w:t>
      </w:r>
    </w:p>
    <w:p w:rsidR="00CE3812" w:rsidRPr="007F3363" w:rsidRDefault="00CE3812" w:rsidP="00CE3812">
      <w:pPr>
        <w:ind w:firstLine="737"/>
      </w:pPr>
      <w:r w:rsidRPr="007F3363">
        <w:rPr>
          <w:rFonts w:ascii="Cambria" w:hAnsi="Cambria" w:cs="Cambria"/>
        </w:rPr>
        <w:t>Num cenário de incerteza, a carteira deverá ser mantida relativamente curta, aproveitando oportunidades pontuais.</w:t>
      </w:r>
    </w:p>
    <w:p w:rsidR="00CE3812" w:rsidRPr="007F3363" w:rsidRDefault="00CE3812" w:rsidP="00CE3812">
      <w:pPr>
        <w:ind w:firstLine="737"/>
      </w:pPr>
      <w:r w:rsidRPr="007F3363">
        <w:rPr>
          <w:rFonts w:ascii="Cambria" w:hAnsi="Cambria" w:cs="Cambria"/>
          <w:u w:val="single"/>
        </w:rPr>
        <w:t>Alocação Objetivo:</w:t>
      </w:r>
      <w:r w:rsidRPr="007F3363">
        <w:rPr>
          <w:rFonts w:ascii="Cambria" w:hAnsi="Cambria" w:cs="Cambria"/>
        </w:rPr>
        <w:t xml:space="preserve"> </w:t>
      </w:r>
      <w:r w:rsidRPr="007F3363">
        <w:rPr>
          <w:rFonts w:ascii="Cambria" w:hAnsi="Cambria" w:cs="Cambria"/>
          <w:b/>
          <w:bCs/>
        </w:rPr>
        <w:t>5%</w:t>
      </w:r>
      <w:r w:rsidRPr="007F3363">
        <w:rPr>
          <w:rFonts w:ascii="Cambria" w:hAnsi="Cambria" w:cs="Cambria"/>
        </w:rPr>
        <w:t xml:space="preserve"> durante o ano de 2018, podendo chegar a 40%, dependendo do cenário acima descrito. Alocação em todos os índices e subíndices ANBIMA, inclusive de índice referenciado de um dia;</w:t>
      </w:r>
    </w:p>
    <w:p w:rsidR="00CE3812" w:rsidRPr="007F3363" w:rsidRDefault="00CE3812" w:rsidP="00CE3812">
      <w:pPr>
        <w:ind w:firstLine="737"/>
        <w:rPr>
          <w:rFonts w:ascii="Cambria" w:hAnsi="Cambria" w:cs="Cambria"/>
          <w:u w:val="single"/>
        </w:rPr>
      </w:pPr>
      <w:r w:rsidRPr="007F3363">
        <w:rPr>
          <w:rFonts w:ascii="Cambria" w:hAnsi="Cambria" w:cs="Cambria"/>
          <w:u w:val="single"/>
        </w:rPr>
        <w:lastRenderedPageBreak/>
        <w:t>Marcação de preço a mercado.</w:t>
      </w:r>
    </w:p>
    <w:p w:rsidR="00CE3812" w:rsidRPr="007F3363" w:rsidRDefault="00CE3812" w:rsidP="00CE3812">
      <w:pPr>
        <w:ind w:firstLine="737"/>
      </w:pPr>
      <w:r w:rsidRPr="007F3363">
        <w:rPr>
          <w:rFonts w:ascii="Cambria" w:hAnsi="Cambria" w:cs="Cambria"/>
          <w:b/>
          <w:bCs/>
        </w:rPr>
        <w:t>Resolução 3.922/2010 com as alterações da Resolução 4.604 de 19/10/2017 - Art. 7º:</w:t>
      </w:r>
      <w:r w:rsidRPr="007F3363">
        <w:rPr>
          <w:rFonts w:ascii="Cambria" w:hAnsi="Cambria" w:cs="Cambria"/>
        </w:rPr>
        <w:t xml:space="preserve"> No segmento de renda fixa, as aplicações dos recursos dos regimes próprios de previdência social subordinam-se aos seguintes limites:</w:t>
      </w:r>
    </w:p>
    <w:p w:rsidR="00CE3812" w:rsidRPr="007F3363" w:rsidRDefault="00CE3812" w:rsidP="00CE3812">
      <w:pPr>
        <w:ind w:firstLine="737"/>
        <w:rPr>
          <w:rFonts w:ascii="Cambria" w:hAnsi="Cambria"/>
        </w:rPr>
      </w:pPr>
      <w:r w:rsidRPr="007F3363">
        <w:rPr>
          <w:rFonts w:ascii="Cambria" w:hAnsi="Cambria"/>
        </w:rPr>
        <w:t>VI - até 15% (quinze por cento), limitado ao montante garantido pelo Fundo Garantidor de Créditos (FGC), nos seguintes instrumentos financeiros:</w:t>
      </w:r>
    </w:p>
    <w:p w:rsidR="00CE3812" w:rsidRPr="007F3363" w:rsidRDefault="00CE3812" w:rsidP="00CE3812">
      <w:pPr>
        <w:ind w:firstLine="737"/>
        <w:rPr>
          <w:rFonts w:ascii="Cambria" w:hAnsi="Cambria"/>
        </w:rPr>
      </w:pPr>
      <w:r w:rsidRPr="007F3363">
        <w:rPr>
          <w:rFonts w:ascii="Cambria" w:hAnsi="Cambria"/>
        </w:rPr>
        <w:t xml:space="preserve">a) Certificado de Depósito Bancário (CDB); ou </w:t>
      </w:r>
    </w:p>
    <w:p w:rsidR="00CE3812" w:rsidRPr="007F3363" w:rsidRDefault="00CE3812" w:rsidP="00CE3812">
      <w:pPr>
        <w:ind w:firstLine="737"/>
        <w:rPr>
          <w:rFonts w:ascii="Cambria" w:hAnsi="Cambria"/>
        </w:rPr>
      </w:pPr>
      <w:r w:rsidRPr="007F3363">
        <w:rPr>
          <w:rFonts w:ascii="Cambria" w:hAnsi="Cambria"/>
        </w:rPr>
        <w:t>b) depósito de poupança.</w:t>
      </w:r>
    </w:p>
    <w:p w:rsidR="00CE3812" w:rsidRPr="007F3363" w:rsidRDefault="00CE3812" w:rsidP="00CE3812">
      <w:pPr>
        <w:ind w:firstLine="737"/>
      </w:pPr>
      <w:r w:rsidRPr="007F3363">
        <w:rPr>
          <w:rFonts w:ascii="Cambria" w:hAnsi="Cambria" w:cs="Cambria"/>
          <w:u w:val="single"/>
        </w:rPr>
        <w:t xml:space="preserve">Estratégia de Investimento em Cenário de expectativa de alta de Taxa de Juro: </w:t>
      </w:r>
      <w:r w:rsidRPr="007F3363">
        <w:rPr>
          <w:rFonts w:ascii="Cambria" w:hAnsi="Cambria" w:cs="Cambria"/>
        </w:rPr>
        <w:t>Aumento na exposição de CDB, visando acompanhar a evolução da Taxa Pós fixada;</w:t>
      </w:r>
    </w:p>
    <w:p w:rsidR="00CE3812" w:rsidRPr="007F3363" w:rsidRDefault="00CE3812" w:rsidP="00CE3812">
      <w:pPr>
        <w:ind w:firstLine="737"/>
      </w:pPr>
      <w:r w:rsidRPr="007F3363">
        <w:rPr>
          <w:rFonts w:ascii="Cambria" w:hAnsi="Cambria" w:cs="Cambria"/>
          <w:u w:val="single"/>
        </w:rPr>
        <w:t>Estratégia de Investimento Cenário de expectativa de queda da Taxa de Juro:</w:t>
      </w:r>
      <w:r w:rsidRPr="007F3363">
        <w:rPr>
          <w:rFonts w:ascii="Cambria" w:hAnsi="Cambria" w:cs="Cambria"/>
        </w:rPr>
        <w:t xml:space="preserve"> Provavelmente, manutenção do ativo, pois deverá ser negociado visando o longo prazo, em busca de uma taxa mais alta; Caso haja possibilidade, realizar troca para taxa Pré Fixada;</w:t>
      </w:r>
    </w:p>
    <w:p w:rsidR="00CE3812" w:rsidRPr="007F3363" w:rsidRDefault="00CE3812" w:rsidP="00CE3812">
      <w:pPr>
        <w:ind w:firstLine="737"/>
      </w:pPr>
      <w:r w:rsidRPr="007F3363">
        <w:rPr>
          <w:rFonts w:ascii="Cambria" w:hAnsi="Cambria" w:cs="Cambria"/>
        </w:rPr>
        <w:t>Num cenário de incerteza, o investimento deverá ser mantido;</w:t>
      </w:r>
    </w:p>
    <w:p w:rsidR="00CE3812" w:rsidRPr="007F3363" w:rsidRDefault="00CE3812" w:rsidP="00CE3812">
      <w:pPr>
        <w:ind w:firstLine="737"/>
        <w:rPr>
          <w:rFonts w:ascii="Cambria" w:hAnsi="Cambria" w:cs="Cambria"/>
        </w:rPr>
      </w:pPr>
      <w:r w:rsidRPr="007F3363">
        <w:rPr>
          <w:rFonts w:ascii="Cambria" w:hAnsi="Cambria" w:cs="Cambria"/>
          <w:u w:val="single"/>
        </w:rPr>
        <w:t>Alocação Objetivo:</w:t>
      </w:r>
      <w:r w:rsidRPr="007F3363">
        <w:rPr>
          <w:rFonts w:ascii="Cambria" w:hAnsi="Cambria" w:cs="Cambria"/>
        </w:rPr>
        <w:t xml:space="preserve"> </w:t>
      </w:r>
      <w:r w:rsidRPr="007F3363">
        <w:rPr>
          <w:rFonts w:ascii="Cambria" w:hAnsi="Cambria" w:cs="Cambria"/>
          <w:b/>
          <w:bCs/>
        </w:rPr>
        <w:t>10%</w:t>
      </w:r>
      <w:r w:rsidRPr="007F3363">
        <w:rPr>
          <w:rFonts w:ascii="Cambria" w:hAnsi="Cambria" w:cs="Cambria"/>
        </w:rPr>
        <w:t xml:space="preserve"> durante o ano de 2018, podendo atingir 15% dependendo do cenário econômico;</w:t>
      </w:r>
    </w:p>
    <w:p w:rsidR="00CE3812" w:rsidRPr="007F3363" w:rsidRDefault="00CE3812" w:rsidP="00CE3812">
      <w:pPr>
        <w:ind w:firstLine="737"/>
        <w:rPr>
          <w:rFonts w:ascii="Cambria" w:hAnsi="Cambria" w:cs="Cambria"/>
          <w:u w:val="single"/>
        </w:rPr>
      </w:pPr>
      <w:r w:rsidRPr="007F3363">
        <w:rPr>
          <w:rFonts w:ascii="Cambria" w:hAnsi="Cambria" w:cs="Cambria"/>
          <w:u w:val="single"/>
        </w:rPr>
        <w:t>Marcação de preço a mercado.</w:t>
      </w:r>
    </w:p>
    <w:p w:rsidR="00CE3812" w:rsidRPr="007F3363" w:rsidRDefault="00CE3812" w:rsidP="00CE3812">
      <w:pPr>
        <w:spacing w:after="0"/>
        <w:ind w:firstLine="737"/>
        <w:jc w:val="left"/>
      </w:pPr>
      <w:r w:rsidRPr="007F3363">
        <w:rPr>
          <w:rFonts w:ascii="Cambria" w:hAnsi="Cambria" w:cs="Cambria"/>
          <w:b/>
          <w:bCs/>
          <w:lang w:eastAsia="en-US"/>
        </w:rPr>
        <w:t>RENDA VARIÁVEL:</w:t>
      </w:r>
    </w:p>
    <w:p w:rsidR="00CE3812" w:rsidRPr="007F3363" w:rsidRDefault="00CE3812" w:rsidP="00CE3812">
      <w:pPr>
        <w:spacing w:after="0"/>
        <w:ind w:firstLine="737"/>
        <w:jc w:val="left"/>
      </w:pPr>
      <w:r w:rsidRPr="007F3363">
        <w:rPr>
          <w:rFonts w:ascii="Cambria" w:hAnsi="Cambria" w:cs="Cambria"/>
          <w:b/>
          <w:bCs/>
          <w:lang w:eastAsia="en-US"/>
        </w:rPr>
        <w:t xml:space="preserve">Resolução 3.922/2010 com as alterações da Resolução 4.604 de 19/10/2017 - Art. 8º: </w:t>
      </w:r>
      <w:r w:rsidRPr="007F3363">
        <w:rPr>
          <w:rFonts w:ascii="Cambria" w:hAnsi="Cambria" w:cs="Cambria"/>
          <w:lang w:eastAsia="en-US"/>
        </w:rPr>
        <w:t xml:space="preserve">No segmento de renda variável, as aplicações dos recursos dos regimes próprios de previdência social subordinam-se aos seguintes limites: </w:t>
      </w:r>
    </w:p>
    <w:p w:rsidR="00CE3812" w:rsidRPr="007F3363" w:rsidRDefault="00CE3812" w:rsidP="00CE3812">
      <w:pPr>
        <w:ind w:firstLine="737"/>
        <w:rPr>
          <w:rFonts w:ascii="Cambria" w:hAnsi="Cambria" w:cs="Cambria"/>
          <w:lang w:eastAsia="en-US"/>
        </w:rPr>
      </w:pPr>
      <w:r w:rsidRPr="007F3363">
        <w:rPr>
          <w:rFonts w:ascii="Cambria" w:hAnsi="Cambria" w:cs="Cambria"/>
          <w:lang w:eastAsia="en-US"/>
        </w:rPr>
        <w:t xml:space="preserve">I - até 30% (trinta por cento) em: a) cotas de fundos de investimento constituídos sob a forma de condomínio aberto cuja política de investimento assegure que o seu patrimônio líquido esteja investido em ativos que acompanham índices de renda variável, divulgados por bolsa de valores no Brasil, compostos por, no mínimo, cinquenta ações, correspondentes bônus ou recibos de subscrição e de certificados de depósitos de tais ações, conforme regulamentação estabelecida pela CVM (fundos de renda variável); </w:t>
      </w:r>
    </w:p>
    <w:p w:rsidR="00CE3812" w:rsidRPr="007F3363" w:rsidRDefault="00CE3812" w:rsidP="00CE3812">
      <w:pPr>
        <w:ind w:firstLine="737"/>
        <w:rPr>
          <w:rFonts w:ascii="Cambria" w:hAnsi="Cambria" w:cs="Cambria"/>
          <w:lang w:eastAsia="en-US"/>
        </w:rPr>
      </w:pPr>
      <w:r w:rsidRPr="007F3363">
        <w:rPr>
          <w:rFonts w:ascii="Cambria" w:hAnsi="Cambria" w:cs="Cambria"/>
          <w:lang w:eastAsia="en-US"/>
        </w:rPr>
        <w:lastRenderedPageBreak/>
        <w:t xml:space="preserve">b) cotas de fundos de investimento em índice de mercado de renda variável, negociáveis em bolsa de valores, cujas carteiras sejam compostas por ativos financeiros que Resolução nº </w:t>
      </w:r>
      <w:r w:rsidRPr="00177E7C">
        <w:rPr>
          <w:rFonts w:ascii="Cambria" w:hAnsi="Cambria" w:cs="Cambria"/>
          <w:lang w:eastAsia="en-US"/>
        </w:rPr>
        <w:t>3.</w:t>
      </w:r>
      <w:r w:rsidR="00F55736" w:rsidRPr="00177E7C">
        <w:rPr>
          <w:rFonts w:ascii="Cambria" w:hAnsi="Cambria" w:cs="Cambria"/>
          <w:lang w:eastAsia="en-US"/>
        </w:rPr>
        <w:t>922, de 25 de novembro de 2010</w:t>
      </w:r>
      <w:r w:rsidRPr="00177E7C">
        <w:rPr>
          <w:rFonts w:ascii="Cambria" w:hAnsi="Cambria" w:cs="Cambria"/>
          <w:lang w:eastAsia="en-US"/>
        </w:rPr>
        <w:t xml:space="preserve"> </w:t>
      </w:r>
      <w:r w:rsidRPr="007F3363">
        <w:rPr>
          <w:rFonts w:ascii="Cambria" w:hAnsi="Cambria" w:cs="Cambria"/>
          <w:lang w:eastAsia="en-US"/>
        </w:rPr>
        <w:t>busquem refletir as variações e rentabilidade de índices de renda variável, divulgados por bolsa de valores no Brasil, compostos por, no mínimo, cinquenta ações, correspondentes bônus ou recibos de subscrição e de certificados de depósitos de tais ações, conforme regulamentação estabelecida pela CVM (fundos de índice de renda variável);</w:t>
      </w:r>
    </w:p>
    <w:p w:rsidR="00CE3812" w:rsidRPr="007F3363" w:rsidRDefault="00CE3812" w:rsidP="00CE3812">
      <w:pPr>
        <w:ind w:firstLine="737"/>
      </w:pPr>
      <w:r w:rsidRPr="007F3363">
        <w:rPr>
          <w:rFonts w:ascii="Cambria" w:hAnsi="Cambria" w:cs="Cambria"/>
        </w:rPr>
        <w:t>Para o investimento em Fundos de Ações, será avaliado o cenário econômico e a expectativa de taxa de juro no País. Além destes, dados como inflação, investimento estrangeiro no país, confiança do empresário e nível de capacidade industrial, taxa de desemprego e consumo no Brasil. Caso o cenário seja positivo, ou reversível, ingressa-se com investimento, utilizando-se a análise técnica, com auxílio de gráficos para identificar o melhor momento.</w:t>
      </w:r>
    </w:p>
    <w:p w:rsidR="00CE3812" w:rsidRPr="007F3363" w:rsidRDefault="00CE3812" w:rsidP="00CE3812">
      <w:pPr>
        <w:ind w:firstLine="737"/>
      </w:pPr>
      <w:r w:rsidRPr="007F3363">
        <w:rPr>
          <w:rFonts w:ascii="Cambria" w:hAnsi="Cambria" w:cs="Cambria"/>
        </w:rPr>
        <w:t>Uma vez definida o RPPS utilizará duas estratégias: Uma passiva, de longo prazo e uma ativa, com entradas e saídas do mercado, de forma a reduzir o risco de exposição e potencializar os ganhos.</w:t>
      </w:r>
    </w:p>
    <w:p w:rsidR="00CE3812" w:rsidRPr="007F3363" w:rsidRDefault="00CE3812" w:rsidP="00CE3812">
      <w:pPr>
        <w:ind w:firstLine="737"/>
      </w:pPr>
      <w:r w:rsidRPr="007F3363">
        <w:rPr>
          <w:rFonts w:ascii="Cambria" w:hAnsi="Cambria" w:cs="Cambria"/>
          <w:u w:val="single"/>
        </w:rPr>
        <w:t>A alocação alvo</w:t>
      </w:r>
      <w:r w:rsidRPr="007F3363">
        <w:rPr>
          <w:rFonts w:ascii="Cambria" w:hAnsi="Cambria" w:cs="Cambria"/>
        </w:rPr>
        <w:t xml:space="preserve"> para 2018 é de </w:t>
      </w:r>
      <w:r w:rsidRPr="007F3363">
        <w:rPr>
          <w:rFonts w:ascii="Cambria" w:hAnsi="Cambria" w:cs="Cambria"/>
          <w:b/>
          <w:bCs/>
        </w:rPr>
        <w:t>10%</w:t>
      </w:r>
      <w:r w:rsidRPr="007F3363">
        <w:rPr>
          <w:rFonts w:ascii="Cambria" w:hAnsi="Cambria" w:cs="Cambria"/>
        </w:rPr>
        <w:t>, podendo ser elevada a até 30%, dependendo do cenário.</w:t>
      </w:r>
    </w:p>
    <w:p w:rsidR="00CE3812" w:rsidRPr="007F3363" w:rsidRDefault="00CE3812" w:rsidP="00CE3812">
      <w:pPr>
        <w:ind w:firstLine="737"/>
      </w:pPr>
      <w:r w:rsidRPr="007F3363">
        <w:rPr>
          <w:rFonts w:ascii="Cambria" w:hAnsi="Cambria" w:cs="Cambria"/>
          <w:b/>
          <w:bCs/>
          <w:lang w:eastAsia="en-US"/>
        </w:rPr>
        <w:t xml:space="preserve">Resolução 3.922/2010 com as alterações da Resolução 4.604 de 19/10/2017 - Art. 8º: </w:t>
      </w:r>
      <w:r w:rsidRPr="007F3363">
        <w:rPr>
          <w:rFonts w:ascii="Cambria" w:hAnsi="Cambria" w:cs="Cambria"/>
        </w:rPr>
        <w:t>No segmento de renda variável, as aplicações dos recursos dos regimes próprios de previdência social subordinam-se aos seguintes limites:</w:t>
      </w:r>
    </w:p>
    <w:p w:rsidR="00CE3812" w:rsidRPr="007F3363" w:rsidRDefault="00CE3812" w:rsidP="00CE3812">
      <w:pPr>
        <w:ind w:firstLine="737"/>
      </w:pPr>
      <w:r w:rsidRPr="007F3363">
        <w:t xml:space="preserve">II - até 20% (vinte por cento) em: </w:t>
      </w:r>
    </w:p>
    <w:p w:rsidR="00CE3812" w:rsidRPr="007F3363" w:rsidRDefault="00CE3812" w:rsidP="00CE3812">
      <w:pPr>
        <w:ind w:firstLine="737"/>
      </w:pPr>
      <w:r w:rsidRPr="007F3363">
        <w:t xml:space="preserve">a) cotas de fundos de investimento classificados como ações, constituídos sob a forma de condomínio aberto, conforme regulamentação estabelecida pela CVM (fundos de renda variável); </w:t>
      </w:r>
    </w:p>
    <w:p w:rsidR="00CE3812" w:rsidRPr="007F3363" w:rsidRDefault="00CE3812" w:rsidP="00CE3812">
      <w:pPr>
        <w:ind w:firstLine="737"/>
      </w:pPr>
      <w:r w:rsidRPr="007F3363">
        <w:t xml:space="preserve">b) cotas de fundos de investimento em índice de mercado variável, negociáveis em bolsa de valores, cujas carteiras sejam compostas por ativos financeiros que busquem refletir as variações e rentabilidade de índices de renda variável, conforme regulamentação estabelecida pela CVM (fundos de índice de renda variável); </w:t>
      </w:r>
    </w:p>
    <w:p w:rsidR="00CE3812" w:rsidRPr="007F3363" w:rsidRDefault="00CE3812" w:rsidP="00CE3812">
      <w:pPr>
        <w:ind w:firstLine="737"/>
      </w:pPr>
      <w:r w:rsidRPr="007F3363">
        <w:t xml:space="preserve">Para o investimento em Fundos de Ações, será avaliado o cenário econômico e a expectativa de taxa de juro no País. Além destes, dados como inflação, investimento estrangeiro no país, confiança do empresário e nível de capacidade industrial, taxa de desemprego e consumo no Brasil. Caso o </w:t>
      </w:r>
      <w:r w:rsidRPr="007F3363">
        <w:lastRenderedPageBreak/>
        <w:t>cenário seja positivo, ou reversível, ingressa-se com investimento, utilizando-se a análise técnica, com auxílio de gráficos para identificar o melhor momento.</w:t>
      </w:r>
    </w:p>
    <w:p w:rsidR="00CE3812" w:rsidRPr="007F3363" w:rsidRDefault="00CE3812" w:rsidP="00CE3812">
      <w:pPr>
        <w:ind w:firstLine="737"/>
      </w:pPr>
      <w:r w:rsidRPr="007F3363">
        <w:t>Uma vez definida o RPPS utilizará duas estratégias: Uma passiva, de longo prazo e uma ativa, com entradas e saídas do mercado, de forma a reduzir o risco de exposição e potencializar os ganhos.</w:t>
      </w:r>
    </w:p>
    <w:p w:rsidR="00CE3812" w:rsidRPr="007F3363" w:rsidRDefault="00CE3812" w:rsidP="00CE3812">
      <w:pPr>
        <w:ind w:firstLine="737"/>
      </w:pPr>
      <w:r w:rsidRPr="007F3363">
        <w:t>A alocação alvo para 2018 é de 2,5%, podendo ser elevada a até 20%, dependendo do cenário.</w:t>
      </w:r>
    </w:p>
    <w:p w:rsidR="00CE3812" w:rsidRPr="007F3363" w:rsidRDefault="00CE3812" w:rsidP="00CE3812">
      <w:pPr>
        <w:ind w:firstLine="737"/>
      </w:pPr>
      <w:bookmarkStart w:id="40" w:name="__DdeLink__3248_1110932089"/>
      <w:r w:rsidRPr="007F3363">
        <w:rPr>
          <w:rFonts w:ascii="Cambria" w:hAnsi="Cambria" w:cs="Cambria"/>
          <w:b/>
          <w:bCs/>
          <w:lang w:eastAsia="en-US"/>
        </w:rPr>
        <w:t xml:space="preserve">Resolução 3.922/2010 com as alterações da Resolução 4.604 de 19/10/2017 - Art. 8º: </w:t>
      </w:r>
      <w:bookmarkEnd w:id="40"/>
      <w:r w:rsidRPr="007F3363">
        <w:rPr>
          <w:rFonts w:ascii="Cambria" w:hAnsi="Cambria" w:cs="Cambria"/>
        </w:rPr>
        <w:t>No segmento de renda variável, as aplicações dos recursos dos regimes próprios de previdência social subordinam-se aos seguintes limites:</w:t>
      </w:r>
    </w:p>
    <w:p w:rsidR="00CE3812" w:rsidRPr="007F3363" w:rsidRDefault="00CE3812" w:rsidP="00CE3812">
      <w:pPr>
        <w:ind w:firstLine="737"/>
        <w:rPr>
          <w:rFonts w:ascii="Cambria" w:hAnsi="Cambria"/>
        </w:rPr>
      </w:pPr>
      <w:r w:rsidRPr="007F3363">
        <w:rPr>
          <w:rFonts w:ascii="Cambria" w:hAnsi="Cambria"/>
        </w:rPr>
        <w:t>III - até 10% (dez por cento) em cotas de Fundos de Investimento classificados como multimercado, constituídos sob a forma de condomínio aberto, cujos regulamentos determinem tratar-se de fundos sem alavancagem (fundos de renda variável);</w:t>
      </w:r>
    </w:p>
    <w:p w:rsidR="00CE3812" w:rsidRPr="007F3363" w:rsidRDefault="00CE3812" w:rsidP="00CE3812">
      <w:pPr>
        <w:ind w:firstLine="737"/>
      </w:pPr>
      <w:r w:rsidRPr="007F3363">
        <w:rPr>
          <w:rFonts w:ascii="Cambria" w:hAnsi="Cambria" w:cs="Cambria"/>
        </w:rPr>
        <w:t>Por se tratar de um fundo exposto a vários fatores de risco, Além da rentabilidade passada, será avaliada a volatilidade do Fundo em relação ao seu benchmark.</w:t>
      </w:r>
    </w:p>
    <w:p w:rsidR="00CE3812" w:rsidRPr="007F3363" w:rsidRDefault="00CE3812" w:rsidP="00CE3812">
      <w:pPr>
        <w:ind w:firstLine="737"/>
      </w:pPr>
      <w:r w:rsidRPr="007F3363">
        <w:rPr>
          <w:rFonts w:ascii="Cambria" w:hAnsi="Cambria" w:cs="Cambria"/>
        </w:rPr>
        <w:t>A carteira do fundo será analisada, verificando se o perfil de risco do fundo está de acordo com o perfil do RPPS, e se a alocação deverá atingir os objetivos no médio e longo prazo.</w:t>
      </w:r>
    </w:p>
    <w:p w:rsidR="00CE3812" w:rsidRPr="007F3363" w:rsidRDefault="00CE3812" w:rsidP="00CE3812">
      <w:pPr>
        <w:ind w:firstLine="737"/>
      </w:pPr>
      <w:r w:rsidRPr="007F3363">
        <w:rPr>
          <w:rFonts w:ascii="Cambria" w:hAnsi="Cambria" w:cs="Cambria"/>
        </w:rPr>
        <w:t>Será feita, inclusive, uma avaliação com relação ao risco de crédito dos títulos que o compões, caso se aplique.</w:t>
      </w:r>
    </w:p>
    <w:p w:rsidR="00CE3812" w:rsidRPr="007F3363" w:rsidRDefault="00CE3812" w:rsidP="00CE3812">
      <w:pPr>
        <w:ind w:firstLine="737"/>
        <w:rPr>
          <w:rFonts w:ascii="Cambria" w:hAnsi="Cambria" w:cs="Cambria"/>
        </w:rPr>
      </w:pPr>
      <w:r w:rsidRPr="007F3363">
        <w:rPr>
          <w:rFonts w:ascii="Cambria" w:hAnsi="Cambria" w:cs="Cambria"/>
          <w:u w:val="single"/>
        </w:rPr>
        <w:t>Alocação alvo</w:t>
      </w:r>
      <w:r w:rsidRPr="007F3363">
        <w:rPr>
          <w:rFonts w:ascii="Cambria" w:hAnsi="Cambria" w:cs="Cambria"/>
        </w:rPr>
        <w:t xml:space="preserve"> para 201</w:t>
      </w:r>
      <w:r w:rsidR="00186D94" w:rsidRPr="007F3363">
        <w:rPr>
          <w:rFonts w:ascii="Cambria" w:hAnsi="Cambria" w:cs="Cambria"/>
        </w:rPr>
        <w:t>9</w:t>
      </w:r>
      <w:r w:rsidRPr="007F3363">
        <w:rPr>
          <w:rFonts w:ascii="Cambria" w:hAnsi="Cambria" w:cs="Cambria"/>
        </w:rPr>
        <w:t xml:space="preserve"> é de </w:t>
      </w:r>
      <w:r w:rsidRPr="007F3363">
        <w:rPr>
          <w:rFonts w:ascii="Cambria" w:hAnsi="Cambria" w:cs="Cambria"/>
          <w:b/>
          <w:bCs/>
        </w:rPr>
        <w:t>5%</w:t>
      </w:r>
      <w:r w:rsidRPr="007F3363">
        <w:rPr>
          <w:rFonts w:ascii="Cambria" w:hAnsi="Cambria" w:cs="Cambria"/>
        </w:rPr>
        <w:t>, podendo ser elevado até o limite de 10%, dependendo do cenário acima descrito.</w:t>
      </w:r>
    </w:p>
    <w:p w:rsidR="00CE3812" w:rsidRPr="007F3363" w:rsidRDefault="00CE3812" w:rsidP="00CE3812">
      <w:pPr>
        <w:ind w:firstLine="737"/>
      </w:pPr>
      <w:r w:rsidRPr="007F3363">
        <w:rPr>
          <w:rFonts w:ascii="Cambria" w:hAnsi="Cambria" w:cs="Cambria"/>
          <w:b/>
          <w:bCs/>
          <w:lang w:eastAsia="en-US"/>
        </w:rPr>
        <w:t xml:space="preserve">Resolução 3.922/2010 com as alterações da Resolução 4.604 de 19/10/2017 - Art. 8º: </w:t>
      </w:r>
      <w:r w:rsidRPr="007F3363">
        <w:rPr>
          <w:rFonts w:ascii="Cambria" w:hAnsi="Cambria" w:cs="Cambria"/>
        </w:rPr>
        <w:t>No segmento de renda variável, as aplicações dos recursos dos regimes próprios de previdência social subordinam-se aos seguintes limites:</w:t>
      </w:r>
    </w:p>
    <w:p w:rsidR="00CE3812" w:rsidRPr="007F3363" w:rsidRDefault="00CE3812" w:rsidP="00CE3812">
      <w:pPr>
        <w:ind w:firstLine="737"/>
      </w:pPr>
      <w:r w:rsidRPr="007F3363">
        <w:t>IV - até 5% (cinco por cento) em:</w:t>
      </w:r>
    </w:p>
    <w:p w:rsidR="00CE3812" w:rsidRPr="007F3363" w:rsidRDefault="00CE3812" w:rsidP="00CE3812">
      <w:pPr>
        <w:ind w:firstLine="737"/>
        <w:rPr>
          <w:rFonts w:ascii="Cambria" w:hAnsi="Cambria" w:cs="Cambria"/>
          <w:bCs/>
        </w:rPr>
      </w:pPr>
      <w:r w:rsidRPr="007F3363">
        <w:rPr>
          <w:rFonts w:ascii="Cambria" w:hAnsi="Cambria" w:cs="Cambria"/>
          <w:bCs/>
        </w:rPr>
        <w:t>b) cotas de fundos de investimento imobiliário (FII) com presença em 60% (sessenta por cento) nos pregões de negociação em mercados regulamentados de valores mobiliários no período de doze meses anteriormente à aplicação.</w:t>
      </w:r>
    </w:p>
    <w:p w:rsidR="00CE3812" w:rsidRPr="007F3363" w:rsidRDefault="00CE3812" w:rsidP="00CE3812">
      <w:pPr>
        <w:ind w:firstLine="737"/>
      </w:pPr>
      <w:r w:rsidRPr="007F3363">
        <w:rPr>
          <w:rFonts w:ascii="Cambria" w:hAnsi="Cambria" w:cs="Cambria"/>
        </w:rPr>
        <w:t xml:space="preserve">Para o investimento em FII, será avaliado o cenário econômico e a expectativa de taxa de juro no País. Além destes, dados como inflação, investimento estrangeiro no país, confiança do </w:t>
      </w:r>
      <w:r w:rsidRPr="007F3363">
        <w:rPr>
          <w:rFonts w:ascii="Cambria" w:hAnsi="Cambria" w:cs="Cambria"/>
        </w:rPr>
        <w:lastRenderedPageBreak/>
        <w:t>consumidor e taxa de construção de habitação, taxa de desemprego e consumo no Brasil. Caso o cenário seja positivo, ou reversível, ingressa-se com investimento, utilizando-se a análise técnica, com auxílio de gráficos para identificar o melhor momento.</w:t>
      </w:r>
    </w:p>
    <w:p w:rsidR="00CE3812" w:rsidRPr="007F3363" w:rsidRDefault="00CE3812" w:rsidP="00CE3812">
      <w:pPr>
        <w:ind w:firstLine="737"/>
        <w:rPr>
          <w:rFonts w:ascii="Cambria" w:hAnsi="Cambria" w:cs="Cambria"/>
          <w:bCs/>
        </w:rPr>
      </w:pPr>
      <w:r w:rsidRPr="007F3363">
        <w:rPr>
          <w:rFonts w:ascii="Cambria" w:hAnsi="Cambria" w:cs="Cambria"/>
        </w:rPr>
        <w:t>Uma vez definida o RPPS utilizará duas estratégias: Uma passiva, de longo prazo e uma ativa, com entradas e saídas do mercado, de forma a reduzir o risco de exposição e potencializar os ganhos.</w:t>
      </w:r>
    </w:p>
    <w:p w:rsidR="00CE3812" w:rsidRPr="007F3363" w:rsidRDefault="00CE3812" w:rsidP="00CE3812">
      <w:pPr>
        <w:rPr>
          <w:rFonts w:ascii="Cambria" w:hAnsi="Cambria" w:cs="Cambria"/>
        </w:rPr>
      </w:pPr>
      <w:r w:rsidRPr="007F3363">
        <w:rPr>
          <w:rFonts w:ascii="Cambria" w:hAnsi="Cambria" w:cs="Cambria"/>
          <w:u w:val="single"/>
        </w:rPr>
        <w:t>Alocação alvo</w:t>
      </w:r>
      <w:r w:rsidRPr="007F3363">
        <w:rPr>
          <w:rFonts w:ascii="Cambria" w:hAnsi="Cambria" w:cs="Cambria"/>
        </w:rPr>
        <w:t xml:space="preserve"> para 201</w:t>
      </w:r>
      <w:r w:rsidR="00186D94" w:rsidRPr="007F3363">
        <w:rPr>
          <w:rFonts w:ascii="Cambria" w:hAnsi="Cambria" w:cs="Cambria"/>
        </w:rPr>
        <w:t>9</w:t>
      </w:r>
      <w:r w:rsidRPr="007F3363">
        <w:rPr>
          <w:rFonts w:ascii="Cambria" w:hAnsi="Cambria" w:cs="Cambria"/>
        </w:rPr>
        <w:t xml:space="preserve"> é de </w:t>
      </w:r>
      <w:r w:rsidRPr="007F3363">
        <w:rPr>
          <w:rFonts w:ascii="Cambria" w:hAnsi="Cambria" w:cs="Cambria"/>
          <w:b/>
          <w:bCs/>
        </w:rPr>
        <w:t>5%</w:t>
      </w:r>
      <w:r w:rsidRPr="007F3363">
        <w:rPr>
          <w:rFonts w:ascii="Cambria" w:hAnsi="Cambria" w:cs="Cambria"/>
        </w:rPr>
        <w:t>.</w:t>
      </w:r>
    </w:p>
    <w:p w:rsidR="00CE3812" w:rsidRPr="007F3363" w:rsidRDefault="00CE3812" w:rsidP="00CE3812">
      <w:pPr>
        <w:ind w:firstLine="720"/>
      </w:pPr>
      <w:r w:rsidRPr="007F3363">
        <w:rPr>
          <w:rFonts w:asciiTheme="minorHAnsi" w:hAnsiTheme="minorHAnsi"/>
          <w:lang w:eastAsia="en-US"/>
        </w:rPr>
        <w:t>Tabela descritiva abaixo:</w:t>
      </w:r>
    </w:p>
    <w:p w:rsidR="00CE3812" w:rsidRPr="007F3363" w:rsidRDefault="00CE3812" w:rsidP="00CE3812">
      <w:pPr>
        <w:ind w:firstLine="720"/>
        <w:rPr>
          <w:rFonts w:asciiTheme="minorHAnsi" w:hAnsiTheme="minorHAnsi"/>
          <w:lang w:eastAsia="en-US"/>
        </w:rPr>
      </w:pPr>
    </w:p>
    <w:p w:rsidR="00CE3812" w:rsidRPr="007F3363" w:rsidRDefault="00CE3812" w:rsidP="00CE3812">
      <w:pPr>
        <w:ind w:firstLine="720"/>
        <w:rPr>
          <w:rFonts w:asciiTheme="minorHAnsi" w:hAnsiTheme="minorHAnsi"/>
          <w:lang w:eastAsia="en-US"/>
        </w:rPr>
      </w:pPr>
    </w:p>
    <w:p w:rsidR="00CE3812" w:rsidRPr="007F3363" w:rsidRDefault="00CE3812" w:rsidP="00CE3812">
      <w:pPr>
        <w:ind w:firstLine="720"/>
        <w:rPr>
          <w:rFonts w:asciiTheme="minorHAnsi" w:hAnsiTheme="minorHAnsi"/>
          <w:lang w:eastAsia="en-US"/>
        </w:rPr>
      </w:pPr>
    </w:p>
    <w:p w:rsidR="00CE3812" w:rsidRPr="007F3363" w:rsidRDefault="00CE3812" w:rsidP="00CE3812">
      <w:pPr>
        <w:ind w:firstLine="720"/>
        <w:rPr>
          <w:rFonts w:asciiTheme="minorHAnsi" w:hAnsiTheme="minorHAnsi"/>
          <w:lang w:eastAsia="en-US"/>
        </w:rPr>
      </w:pPr>
    </w:p>
    <w:p w:rsidR="00CE3812" w:rsidRPr="007F3363" w:rsidRDefault="00CE3812" w:rsidP="00CE3812">
      <w:pPr>
        <w:ind w:firstLine="720"/>
        <w:rPr>
          <w:rFonts w:asciiTheme="minorHAnsi" w:hAnsiTheme="minorHAnsi"/>
          <w:lang w:eastAsia="en-US"/>
        </w:rPr>
      </w:pPr>
    </w:p>
    <w:p w:rsidR="00CE3812" w:rsidRPr="007F3363" w:rsidRDefault="00CE3812" w:rsidP="00CE3812">
      <w:pPr>
        <w:ind w:firstLine="720"/>
        <w:rPr>
          <w:rFonts w:asciiTheme="minorHAnsi" w:hAnsiTheme="minorHAnsi"/>
          <w:lang w:eastAsia="en-US"/>
        </w:rPr>
      </w:pPr>
    </w:p>
    <w:p w:rsidR="00CE3812" w:rsidRPr="007F3363" w:rsidRDefault="00CE3812" w:rsidP="00CE3812">
      <w:pPr>
        <w:ind w:firstLine="720"/>
        <w:rPr>
          <w:rFonts w:asciiTheme="minorHAnsi" w:hAnsiTheme="minorHAnsi"/>
          <w:lang w:eastAsia="en-US"/>
        </w:rPr>
      </w:pPr>
    </w:p>
    <w:tbl>
      <w:tblPr>
        <w:tblW w:w="10376" w:type="dxa"/>
        <w:tblInd w:w="93" w:type="dxa"/>
        <w:tblBorders>
          <w:top w:val="single" w:sz="4" w:space="0" w:color="00000A"/>
        </w:tblBorders>
        <w:tblLook w:val="04A0" w:firstRow="1" w:lastRow="0" w:firstColumn="1" w:lastColumn="0" w:noHBand="0" w:noVBand="1"/>
      </w:tblPr>
      <w:tblGrid>
        <w:gridCol w:w="5416"/>
        <w:gridCol w:w="1559"/>
        <w:gridCol w:w="1701"/>
        <w:gridCol w:w="1700"/>
      </w:tblGrid>
      <w:tr w:rsidR="00CE3812" w:rsidRPr="007F3363" w:rsidTr="00075B8E">
        <w:trPr>
          <w:trHeight w:val="300"/>
        </w:trPr>
        <w:tc>
          <w:tcPr>
            <w:tcW w:w="10375" w:type="dxa"/>
            <w:gridSpan w:val="4"/>
            <w:tcBorders>
              <w:top w:val="single" w:sz="4" w:space="0" w:color="00000A"/>
            </w:tcBorders>
            <w:shd w:val="clear" w:color="auto" w:fill="EEEEEE"/>
            <w:vAlign w:val="bottom"/>
          </w:tcPr>
          <w:p w:rsidR="00CE3812" w:rsidRPr="007F3363" w:rsidRDefault="00CE3812" w:rsidP="00075B8E">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ALOCAÇÃO DOS RECURSOS</w:t>
            </w:r>
          </w:p>
        </w:tc>
      </w:tr>
      <w:tr w:rsidR="00CE3812" w:rsidRPr="007F3363" w:rsidTr="00075B8E">
        <w:trPr>
          <w:trHeight w:val="620"/>
        </w:trPr>
        <w:tc>
          <w:tcPr>
            <w:tcW w:w="5415" w:type="dxa"/>
            <w:tcBorders>
              <w:top w:val="single" w:sz="4" w:space="0" w:color="00000A"/>
              <w:bottom w:val="single" w:sz="4" w:space="0" w:color="00000A"/>
            </w:tcBorders>
            <w:shd w:val="clear" w:color="auto" w:fill="EEEEEE"/>
            <w:vAlign w:val="center"/>
          </w:tcPr>
          <w:p w:rsidR="00CE3812" w:rsidRPr="007F3363" w:rsidRDefault="00CE3812" w:rsidP="00075B8E">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CLASSES DE ATIVOS</w:t>
            </w:r>
          </w:p>
        </w:tc>
        <w:tc>
          <w:tcPr>
            <w:tcW w:w="1559" w:type="dxa"/>
            <w:tcBorders>
              <w:top w:val="single" w:sz="4" w:space="0" w:color="00000A"/>
              <w:bottom w:val="single" w:sz="4" w:space="0" w:color="00000A"/>
            </w:tcBorders>
            <w:shd w:val="clear" w:color="auto" w:fill="EEEEEE"/>
            <w:vAlign w:val="bottom"/>
          </w:tcPr>
          <w:p w:rsidR="00CE3812" w:rsidRPr="007F3363" w:rsidRDefault="00CE3812" w:rsidP="00075B8E">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LIMITE RESOLUÇÃO</w:t>
            </w:r>
          </w:p>
        </w:tc>
        <w:tc>
          <w:tcPr>
            <w:tcW w:w="1701" w:type="dxa"/>
            <w:tcBorders>
              <w:top w:val="single" w:sz="4" w:space="0" w:color="00000A"/>
              <w:bottom w:val="single" w:sz="4" w:space="0" w:color="00000A"/>
            </w:tcBorders>
            <w:shd w:val="clear" w:color="auto" w:fill="EEEEEE"/>
            <w:vAlign w:val="bottom"/>
          </w:tcPr>
          <w:p w:rsidR="00CE3812" w:rsidRPr="007F3363" w:rsidRDefault="00CE3812" w:rsidP="00075B8E">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ALOCAÇÃO OBJETIVO</w:t>
            </w:r>
          </w:p>
        </w:tc>
        <w:tc>
          <w:tcPr>
            <w:tcW w:w="1700" w:type="dxa"/>
            <w:tcBorders>
              <w:top w:val="single" w:sz="4" w:space="0" w:color="00000A"/>
              <w:bottom w:val="single" w:sz="4" w:space="0" w:color="00000A"/>
            </w:tcBorders>
            <w:shd w:val="clear" w:color="auto" w:fill="EEEEEE"/>
            <w:vAlign w:val="bottom"/>
          </w:tcPr>
          <w:p w:rsidR="00CE3812" w:rsidRPr="007F3363" w:rsidRDefault="00CE3812" w:rsidP="00075B8E">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LIMITE MÁXIMO</w:t>
            </w:r>
          </w:p>
        </w:tc>
      </w:tr>
      <w:tr w:rsidR="00CE3812" w:rsidRPr="007F3363" w:rsidTr="00075B8E">
        <w:trPr>
          <w:trHeight w:val="300"/>
        </w:trPr>
        <w:tc>
          <w:tcPr>
            <w:tcW w:w="5415" w:type="dxa"/>
            <w:tcBorders>
              <w:top w:val="single" w:sz="4" w:space="0" w:color="00000A"/>
              <w:bottom w:val="single" w:sz="4" w:space="0" w:color="00000A"/>
            </w:tcBorders>
            <w:shd w:val="clear" w:color="auto" w:fill="EEEEEE"/>
            <w:vAlign w:val="bottom"/>
          </w:tcPr>
          <w:p w:rsidR="00CE3812" w:rsidRPr="007F3363" w:rsidRDefault="00CE3812" w:rsidP="00075B8E">
            <w:pPr>
              <w:spacing w:after="0"/>
              <w:jc w:val="left"/>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RENDA FIXA - Art. 7°</w:t>
            </w:r>
          </w:p>
        </w:tc>
        <w:tc>
          <w:tcPr>
            <w:tcW w:w="1559" w:type="dxa"/>
            <w:tcBorders>
              <w:top w:val="single" w:sz="4" w:space="0" w:color="00000A"/>
              <w:bottom w:val="single" w:sz="4" w:space="0" w:color="00000A"/>
            </w:tcBorders>
            <w:shd w:val="clear" w:color="auto" w:fill="EEEEEE"/>
            <w:vAlign w:val="bottom"/>
          </w:tcPr>
          <w:p w:rsidR="00CE3812" w:rsidRPr="007F3363" w:rsidRDefault="00CE3812" w:rsidP="00075B8E">
            <w:pPr>
              <w:spacing w:after="0"/>
              <w:ind w:left="99"/>
              <w:jc w:val="left"/>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 </w:t>
            </w:r>
          </w:p>
        </w:tc>
        <w:tc>
          <w:tcPr>
            <w:tcW w:w="1701" w:type="dxa"/>
            <w:tcBorders>
              <w:top w:val="single" w:sz="4" w:space="0" w:color="00000A"/>
              <w:bottom w:val="single" w:sz="4" w:space="0" w:color="00000A"/>
            </w:tcBorders>
            <w:shd w:val="clear" w:color="auto" w:fill="EEEEEE"/>
            <w:vAlign w:val="bottom"/>
          </w:tcPr>
          <w:p w:rsidR="00CE3812" w:rsidRPr="007F3363" w:rsidRDefault="00CE3812" w:rsidP="00075B8E">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80%</w:t>
            </w:r>
          </w:p>
        </w:tc>
        <w:tc>
          <w:tcPr>
            <w:tcW w:w="1700" w:type="dxa"/>
            <w:tcBorders>
              <w:top w:val="single" w:sz="4" w:space="0" w:color="00000A"/>
              <w:bottom w:val="single" w:sz="4" w:space="0" w:color="00000A"/>
            </w:tcBorders>
            <w:shd w:val="clear" w:color="auto" w:fill="EEEEEE"/>
            <w:vAlign w:val="bottom"/>
          </w:tcPr>
          <w:p w:rsidR="00CE3812" w:rsidRPr="007F3363" w:rsidRDefault="00CE3812" w:rsidP="00075B8E">
            <w:pPr>
              <w:spacing w:after="0"/>
              <w:jc w:val="left"/>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 </w:t>
            </w:r>
          </w:p>
        </w:tc>
      </w:tr>
      <w:tr w:rsidR="00CE3812" w:rsidRPr="007F3363" w:rsidTr="00075B8E">
        <w:trPr>
          <w:trHeight w:val="300"/>
        </w:trPr>
        <w:tc>
          <w:tcPr>
            <w:tcW w:w="5415" w:type="dxa"/>
            <w:tcBorders>
              <w:top w:val="single" w:sz="4" w:space="0" w:color="00000A"/>
              <w:bottom w:val="dotted" w:sz="4" w:space="0" w:color="00000A"/>
            </w:tcBorders>
            <w:shd w:val="clear" w:color="auto" w:fill="auto"/>
            <w:vAlign w:val="bottom"/>
          </w:tcPr>
          <w:p w:rsidR="00CE3812" w:rsidRPr="007F3363" w:rsidRDefault="00CE3812" w:rsidP="00075B8E">
            <w:pPr>
              <w:spacing w:after="0"/>
              <w:ind w:left="-93"/>
              <w:jc w:val="left"/>
              <w:rPr>
                <w:b/>
                <w:bCs/>
              </w:rPr>
            </w:pPr>
            <w:r w:rsidRPr="007F3363">
              <w:rPr>
                <w:rFonts w:ascii="Cambria" w:eastAsia="Times New Roman" w:hAnsi="Cambria" w:cs="Cambria"/>
                <w:b/>
                <w:bCs/>
                <w:lang w:eastAsia="en-US"/>
              </w:rPr>
              <w:t>Títulos Tesouro Nacional - Art. 7°, I, "a"</w:t>
            </w:r>
          </w:p>
        </w:tc>
        <w:tc>
          <w:tcPr>
            <w:tcW w:w="1559" w:type="dxa"/>
            <w:tcBorders>
              <w:top w:val="single"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100%</w:t>
            </w:r>
          </w:p>
        </w:tc>
        <w:tc>
          <w:tcPr>
            <w:tcW w:w="1701" w:type="dxa"/>
            <w:tcBorders>
              <w:top w:val="single" w:sz="4" w:space="0" w:color="00000A"/>
              <w:bottom w:val="dotted"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0%</w:t>
            </w:r>
          </w:p>
        </w:tc>
        <w:tc>
          <w:tcPr>
            <w:tcW w:w="1700" w:type="dxa"/>
            <w:tcBorders>
              <w:top w:val="single"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100%</w:t>
            </w:r>
          </w:p>
        </w:tc>
      </w:tr>
      <w:tr w:rsidR="00CE3812" w:rsidRPr="007F3363" w:rsidTr="00075B8E">
        <w:trPr>
          <w:trHeight w:val="300"/>
        </w:trPr>
        <w:tc>
          <w:tcPr>
            <w:tcW w:w="5415" w:type="dxa"/>
            <w:tcBorders>
              <w:top w:val="dotted" w:sz="4" w:space="0" w:color="00000A"/>
              <w:bottom w:val="dotted" w:sz="4" w:space="0" w:color="00000A"/>
            </w:tcBorders>
            <w:shd w:val="clear" w:color="auto" w:fill="auto"/>
            <w:vAlign w:val="bottom"/>
          </w:tcPr>
          <w:p w:rsidR="00CE3812" w:rsidRPr="007F3363" w:rsidRDefault="00CE3812" w:rsidP="00075B8E">
            <w:pPr>
              <w:spacing w:after="0"/>
              <w:ind w:left="-93"/>
              <w:jc w:val="left"/>
              <w:rPr>
                <w:b/>
                <w:bCs/>
              </w:rPr>
            </w:pPr>
            <w:r w:rsidRPr="007F3363">
              <w:rPr>
                <w:rFonts w:ascii="Cambria" w:eastAsia="Times New Roman" w:hAnsi="Cambria" w:cs="Cambria"/>
                <w:b/>
                <w:bCs/>
                <w:lang w:eastAsia="en-US"/>
              </w:rPr>
              <w:t>FI Referenciados 100% TPF - Art. 7°, I, "b"</w:t>
            </w:r>
          </w:p>
        </w:tc>
        <w:tc>
          <w:tcPr>
            <w:tcW w:w="1559"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100%</w:t>
            </w:r>
          </w:p>
        </w:tc>
        <w:tc>
          <w:tcPr>
            <w:tcW w:w="1701"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50%</w:t>
            </w:r>
          </w:p>
        </w:tc>
        <w:tc>
          <w:tcPr>
            <w:tcW w:w="1700"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100%</w:t>
            </w:r>
          </w:p>
        </w:tc>
      </w:tr>
      <w:tr w:rsidR="00CE3812" w:rsidRPr="007F3363" w:rsidTr="00075B8E">
        <w:trPr>
          <w:trHeight w:val="300"/>
        </w:trPr>
        <w:tc>
          <w:tcPr>
            <w:tcW w:w="5415" w:type="dxa"/>
            <w:tcBorders>
              <w:top w:val="dotted" w:sz="4" w:space="0" w:color="00000A"/>
              <w:bottom w:val="dotted" w:sz="4" w:space="0" w:color="00000A"/>
            </w:tcBorders>
            <w:shd w:val="clear" w:color="auto" w:fill="auto"/>
            <w:vAlign w:val="bottom"/>
          </w:tcPr>
          <w:p w:rsidR="00CE3812" w:rsidRPr="007F3363" w:rsidRDefault="00CE3812" w:rsidP="00075B8E">
            <w:pPr>
              <w:spacing w:after="0"/>
              <w:ind w:left="-93"/>
              <w:jc w:val="left"/>
              <w:rPr>
                <w:rFonts w:ascii="Cambria" w:eastAsia="Times New Roman" w:hAnsi="Cambria" w:cs="Cambria"/>
                <w:lang w:eastAsia="en-US"/>
              </w:rPr>
            </w:pPr>
            <w:r w:rsidRPr="007F3363">
              <w:rPr>
                <w:rFonts w:ascii="Cambria" w:eastAsia="Times New Roman" w:hAnsi="Cambria" w:cs="Cambria"/>
                <w:b/>
                <w:bCs/>
                <w:lang w:eastAsia="en-US"/>
              </w:rPr>
              <w:t>ETF Rentabilidade Índice 100% TPF - Art. 7ᵒ, I, "c"</w:t>
            </w:r>
          </w:p>
        </w:tc>
        <w:tc>
          <w:tcPr>
            <w:tcW w:w="1559"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Cambria" w:eastAsia="Times New Roman" w:hAnsi="Cambria" w:cs="Cambria"/>
                <w:lang w:eastAsia="en-US"/>
              </w:rPr>
            </w:pPr>
            <w:r w:rsidRPr="007F3363">
              <w:rPr>
                <w:rFonts w:ascii="Cambria" w:eastAsia="Times New Roman" w:hAnsi="Cambria" w:cs="Cambria"/>
                <w:b/>
                <w:bCs/>
                <w:lang w:eastAsia="en-US"/>
              </w:rPr>
              <w:t>100%</w:t>
            </w:r>
          </w:p>
        </w:tc>
        <w:tc>
          <w:tcPr>
            <w:tcW w:w="1701"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10%</w:t>
            </w:r>
          </w:p>
        </w:tc>
        <w:tc>
          <w:tcPr>
            <w:tcW w:w="1700"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Cambria" w:eastAsia="Times New Roman" w:hAnsi="Cambria" w:cs="Cambria"/>
                <w:lang w:eastAsia="en-US"/>
              </w:rPr>
            </w:pPr>
            <w:r w:rsidRPr="007F3363">
              <w:rPr>
                <w:rFonts w:ascii="Cambria" w:eastAsia="Times New Roman" w:hAnsi="Cambria" w:cs="Cambria"/>
                <w:b/>
                <w:bCs/>
                <w:lang w:eastAsia="en-US"/>
              </w:rPr>
              <w:t>100%</w:t>
            </w:r>
          </w:p>
        </w:tc>
      </w:tr>
      <w:tr w:rsidR="00CE3812" w:rsidRPr="007F3363" w:rsidTr="00075B8E">
        <w:trPr>
          <w:trHeight w:val="300"/>
        </w:trPr>
        <w:tc>
          <w:tcPr>
            <w:tcW w:w="5415" w:type="dxa"/>
            <w:tcBorders>
              <w:top w:val="dotted" w:sz="4" w:space="0" w:color="00000A"/>
              <w:bottom w:val="dotted" w:sz="4" w:space="0" w:color="00000A"/>
            </w:tcBorders>
            <w:shd w:val="clear" w:color="auto" w:fill="auto"/>
            <w:vAlign w:val="bottom"/>
          </w:tcPr>
          <w:p w:rsidR="00CE3812" w:rsidRPr="007F3363" w:rsidRDefault="00CE3812" w:rsidP="00075B8E">
            <w:pPr>
              <w:spacing w:after="0"/>
              <w:ind w:left="-93"/>
              <w:jc w:val="left"/>
              <w:rPr>
                <w:b/>
                <w:bCs/>
              </w:rPr>
            </w:pPr>
            <w:r w:rsidRPr="007F3363">
              <w:rPr>
                <w:rFonts w:ascii="Cambria" w:eastAsia="Times New Roman" w:hAnsi="Cambria" w:cs="Cambria"/>
                <w:b/>
                <w:bCs/>
                <w:lang w:eastAsia="en-US"/>
              </w:rPr>
              <w:t>Operações Compromissadas - Art. 7°, II</w:t>
            </w:r>
          </w:p>
        </w:tc>
        <w:tc>
          <w:tcPr>
            <w:tcW w:w="1559"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5%</w:t>
            </w:r>
          </w:p>
        </w:tc>
        <w:tc>
          <w:tcPr>
            <w:tcW w:w="1701"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0%</w:t>
            </w:r>
          </w:p>
        </w:tc>
        <w:tc>
          <w:tcPr>
            <w:tcW w:w="1700"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5%</w:t>
            </w:r>
          </w:p>
        </w:tc>
      </w:tr>
      <w:tr w:rsidR="00CE3812" w:rsidRPr="007F3363" w:rsidTr="00075B8E">
        <w:trPr>
          <w:trHeight w:val="300"/>
        </w:trPr>
        <w:tc>
          <w:tcPr>
            <w:tcW w:w="5415" w:type="dxa"/>
            <w:tcBorders>
              <w:top w:val="dotted" w:sz="4" w:space="0" w:color="00000A"/>
              <w:bottom w:val="dotted" w:sz="4" w:space="0" w:color="00000A"/>
            </w:tcBorders>
            <w:shd w:val="clear" w:color="auto" w:fill="auto"/>
            <w:vAlign w:val="bottom"/>
          </w:tcPr>
          <w:p w:rsidR="00CE3812" w:rsidRPr="007F3363" w:rsidRDefault="00CE3812" w:rsidP="00075B8E">
            <w:pPr>
              <w:spacing w:after="0"/>
              <w:ind w:left="-93"/>
              <w:jc w:val="left"/>
              <w:rPr>
                <w:b/>
                <w:bCs/>
              </w:rPr>
            </w:pPr>
            <w:r w:rsidRPr="007F3363">
              <w:rPr>
                <w:rFonts w:ascii="Cambria" w:eastAsia="Times New Roman" w:hAnsi="Cambria" w:cs="Cambria"/>
                <w:b/>
                <w:bCs/>
                <w:lang w:eastAsia="en-US"/>
              </w:rPr>
              <w:t>FI Renda Fixa/Referenciados Aberto RF - Art. 7°, III, "a"</w:t>
            </w:r>
          </w:p>
        </w:tc>
        <w:tc>
          <w:tcPr>
            <w:tcW w:w="1559"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60%</w:t>
            </w:r>
          </w:p>
        </w:tc>
        <w:tc>
          <w:tcPr>
            <w:tcW w:w="1701"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2,5%</w:t>
            </w:r>
          </w:p>
        </w:tc>
        <w:tc>
          <w:tcPr>
            <w:tcW w:w="1700"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60%</w:t>
            </w:r>
          </w:p>
        </w:tc>
      </w:tr>
      <w:tr w:rsidR="00CE3812" w:rsidRPr="007F3363" w:rsidTr="00075B8E">
        <w:trPr>
          <w:trHeight w:val="300"/>
        </w:trPr>
        <w:tc>
          <w:tcPr>
            <w:tcW w:w="5415" w:type="dxa"/>
            <w:tcBorders>
              <w:top w:val="dotted" w:sz="4" w:space="0" w:color="00000A"/>
              <w:bottom w:val="dotted" w:sz="4" w:space="0" w:color="00000A"/>
            </w:tcBorders>
            <w:shd w:val="clear" w:color="auto" w:fill="auto"/>
            <w:vAlign w:val="bottom"/>
          </w:tcPr>
          <w:p w:rsidR="00CE3812" w:rsidRPr="007F3363" w:rsidRDefault="00CE3812" w:rsidP="00075B8E">
            <w:pPr>
              <w:spacing w:after="0"/>
              <w:ind w:left="-93"/>
              <w:jc w:val="left"/>
              <w:rPr>
                <w:rFonts w:ascii="Cambria" w:eastAsia="Times New Roman" w:hAnsi="Cambria" w:cs="Cambria"/>
                <w:lang w:eastAsia="en-US"/>
              </w:rPr>
            </w:pPr>
            <w:r w:rsidRPr="007F3363">
              <w:rPr>
                <w:rFonts w:ascii="Cambria" w:eastAsia="Times New Roman" w:hAnsi="Cambria" w:cs="Cambria"/>
                <w:b/>
                <w:bCs/>
                <w:lang w:eastAsia="en-US"/>
              </w:rPr>
              <w:t>ETF RF não atrelado a taxa de 1 dia - Art. 7°, III, "b"</w:t>
            </w:r>
          </w:p>
        </w:tc>
        <w:tc>
          <w:tcPr>
            <w:tcW w:w="1559"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Cambria" w:eastAsia="Times New Roman" w:hAnsi="Cambria" w:cs="Cambria"/>
                <w:lang w:eastAsia="en-US"/>
              </w:rPr>
            </w:pPr>
            <w:r w:rsidRPr="007F3363">
              <w:rPr>
                <w:rFonts w:ascii="Cambria" w:eastAsia="Times New Roman" w:hAnsi="Cambria" w:cs="Cambria"/>
                <w:b/>
                <w:bCs/>
                <w:lang w:eastAsia="en-US"/>
              </w:rPr>
              <w:t>60%</w:t>
            </w:r>
          </w:p>
        </w:tc>
        <w:tc>
          <w:tcPr>
            <w:tcW w:w="1701"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2,5%</w:t>
            </w:r>
          </w:p>
        </w:tc>
        <w:tc>
          <w:tcPr>
            <w:tcW w:w="1700"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Cambria" w:eastAsia="Times New Roman" w:hAnsi="Cambria" w:cs="Cambria"/>
                <w:lang w:eastAsia="en-US"/>
              </w:rPr>
            </w:pPr>
            <w:r w:rsidRPr="007F3363">
              <w:rPr>
                <w:rFonts w:ascii="Cambria" w:eastAsia="Times New Roman" w:hAnsi="Cambria" w:cs="Cambria"/>
                <w:b/>
                <w:bCs/>
                <w:lang w:eastAsia="en-US"/>
              </w:rPr>
              <w:t>60%</w:t>
            </w:r>
          </w:p>
        </w:tc>
      </w:tr>
      <w:tr w:rsidR="00CE3812" w:rsidRPr="007F3363" w:rsidTr="00075B8E">
        <w:trPr>
          <w:trHeight w:val="300"/>
        </w:trPr>
        <w:tc>
          <w:tcPr>
            <w:tcW w:w="5415" w:type="dxa"/>
            <w:tcBorders>
              <w:top w:val="dotted" w:sz="4" w:space="0" w:color="00000A"/>
              <w:bottom w:val="dotted" w:sz="4" w:space="0" w:color="00000A"/>
            </w:tcBorders>
            <w:shd w:val="clear" w:color="auto" w:fill="auto"/>
            <w:vAlign w:val="bottom"/>
          </w:tcPr>
          <w:p w:rsidR="00CE3812" w:rsidRPr="007F3363" w:rsidRDefault="00CE3812" w:rsidP="00075B8E">
            <w:pPr>
              <w:spacing w:after="0"/>
              <w:ind w:left="-93"/>
              <w:jc w:val="left"/>
            </w:pPr>
            <w:r w:rsidRPr="007F3363">
              <w:rPr>
                <w:rFonts w:ascii="Cambria" w:eastAsia="Times New Roman" w:hAnsi="Cambria" w:cs="Cambria"/>
                <w:b/>
                <w:bCs/>
                <w:lang w:eastAsia="en-US"/>
              </w:rPr>
              <w:lastRenderedPageBreak/>
              <w:t>FI de Renda Fixa Aberto - Art. 7°, IV, a</w:t>
            </w:r>
          </w:p>
        </w:tc>
        <w:tc>
          <w:tcPr>
            <w:tcW w:w="1559"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40%</w:t>
            </w:r>
          </w:p>
        </w:tc>
        <w:tc>
          <w:tcPr>
            <w:tcW w:w="1701"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2,5%</w:t>
            </w:r>
          </w:p>
        </w:tc>
        <w:tc>
          <w:tcPr>
            <w:tcW w:w="1700"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40%</w:t>
            </w:r>
          </w:p>
        </w:tc>
      </w:tr>
      <w:tr w:rsidR="00CE3812" w:rsidRPr="007F3363" w:rsidTr="00075B8E">
        <w:trPr>
          <w:trHeight w:val="300"/>
        </w:trPr>
        <w:tc>
          <w:tcPr>
            <w:tcW w:w="5415" w:type="dxa"/>
            <w:tcBorders>
              <w:top w:val="dotted" w:sz="4" w:space="0" w:color="00000A"/>
              <w:bottom w:val="dotted" w:sz="4" w:space="0" w:color="00000A"/>
            </w:tcBorders>
            <w:shd w:val="clear" w:color="auto" w:fill="auto"/>
            <w:vAlign w:val="bottom"/>
          </w:tcPr>
          <w:p w:rsidR="00CE3812" w:rsidRPr="007F3363" w:rsidRDefault="00CE3812" w:rsidP="00075B8E">
            <w:pPr>
              <w:spacing w:after="0"/>
              <w:ind w:left="-93"/>
              <w:jc w:val="left"/>
            </w:pPr>
            <w:r w:rsidRPr="007F3363">
              <w:rPr>
                <w:rFonts w:ascii="Cambria" w:eastAsia="Times New Roman" w:hAnsi="Cambria" w:cs="Cambria"/>
                <w:b/>
                <w:bCs/>
                <w:lang w:eastAsia="en-US"/>
              </w:rPr>
              <w:t>ETF Renda Fixa - - Art. 7°, IV, b</w:t>
            </w:r>
          </w:p>
        </w:tc>
        <w:tc>
          <w:tcPr>
            <w:tcW w:w="1559"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Cambria" w:eastAsia="Times New Roman" w:hAnsi="Cambria" w:cs="Cambria"/>
                <w:lang w:eastAsia="en-US"/>
              </w:rPr>
            </w:pPr>
            <w:r w:rsidRPr="007F3363">
              <w:rPr>
                <w:rFonts w:ascii="Cambria" w:eastAsia="Times New Roman" w:hAnsi="Cambria" w:cs="Cambria"/>
                <w:b/>
                <w:bCs/>
                <w:lang w:eastAsia="en-US"/>
              </w:rPr>
              <w:t>40%</w:t>
            </w:r>
          </w:p>
        </w:tc>
        <w:tc>
          <w:tcPr>
            <w:tcW w:w="1701"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2,5%</w:t>
            </w:r>
          </w:p>
        </w:tc>
        <w:tc>
          <w:tcPr>
            <w:tcW w:w="1700"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Cambria" w:eastAsia="Times New Roman" w:hAnsi="Cambria" w:cs="Cambria"/>
                <w:lang w:eastAsia="en-US"/>
              </w:rPr>
            </w:pPr>
            <w:r w:rsidRPr="007F3363">
              <w:rPr>
                <w:rFonts w:ascii="Cambria" w:eastAsia="Times New Roman" w:hAnsi="Cambria" w:cs="Cambria"/>
                <w:b/>
                <w:bCs/>
                <w:lang w:eastAsia="en-US"/>
              </w:rPr>
              <w:t>40%</w:t>
            </w:r>
          </w:p>
        </w:tc>
      </w:tr>
      <w:tr w:rsidR="00CE3812" w:rsidRPr="007F3363" w:rsidTr="00075B8E">
        <w:trPr>
          <w:trHeight w:val="300"/>
        </w:trPr>
        <w:tc>
          <w:tcPr>
            <w:tcW w:w="5415" w:type="dxa"/>
            <w:tcBorders>
              <w:top w:val="dotted" w:sz="4" w:space="0" w:color="00000A"/>
              <w:bottom w:val="dotted" w:sz="4" w:space="0" w:color="00000A"/>
            </w:tcBorders>
            <w:shd w:val="clear" w:color="auto" w:fill="auto"/>
            <w:vAlign w:val="bottom"/>
          </w:tcPr>
          <w:p w:rsidR="00CE3812" w:rsidRPr="007F3363" w:rsidRDefault="00CE3812" w:rsidP="00075B8E">
            <w:pPr>
              <w:spacing w:after="0"/>
              <w:ind w:left="-93"/>
              <w:jc w:val="left"/>
              <w:rPr>
                <w:b/>
                <w:bCs/>
              </w:rPr>
            </w:pPr>
            <w:r w:rsidRPr="007F3363">
              <w:rPr>
                <w:rFonts w:ascii="Cambria" w:eastAsia="Times New Roman" w:hAnsi="Cambria" w:cs="Cambria"/>
                <w:b/>
                <w:bCs/>
                <w:lang w:eastAsia="en-US"/>
              </w:rPr>
              <w:t>Letras Imobiliárias Garantidas - Art. 7°, V, "b"</w:t>
            </w:r>
          </w:p>
        </w:tc>
        <w:tc>
          <w:tcPr>
            <w:tcW w:w="1559"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20%</w:t>
            </w:r>
          </w:p>
        </w:tc>
        <w:tc>
          <w:tcPr>
            <w:tcW w:w="1701"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0%</w:t>
            </w:r>
          </w:p>
        </w:tc>
        <w:tc>
          <w:tcPr>
            <w:tcW w:w="1700"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20%</w:t>
            </w:r>
          </w:p>
        </w:tc>
      </w:tr>
      <w:tr w:rsidR="00CE3812" w:rsidRPr="007F3363" w:rsidTr="00075B8E">
        <w:trPr>
          <w:trHeight w:val="300"/>
        </w:trPr>
        <w:tc>
          <w:tcPr>
            <w:tcW w:w="5415" w:type="dxa"/>
            <w:tcBorders>
              <w:top w:val="dotted" w:sz="4" w:space="0" w:color="00000A"/>
              <w:bottom w:val="single" w:sz="4" w:space="0" w:color="00000A"/>
            </w:tcBorders>
            <w:shd w:val="clear" w:color="auto" w:fill="auto"/>
            <w:vAlign w:val="bottom"/>
          </w:tcPr>
          <w:p w:rsidR="00CE3812" w:rsidRPr="007F3363" w:rsidRDefault="00CE3812" w:rsidP="00075B8E">
            <w:pPr>
              <w:spacing w:after="0"/>
              <w:ind w:left="-93"/>
              <w:jc w:val="left"/>
              <w:rPr>
                <w:b/>
                <w:bCs/>
              </w:rPr>
            </w:pPr>
            <w:r w:rsidRPr="007F3363">
              <w:rPr>
                <w:rFonts w:ascii="Cambria" w:eastAsia="Times New Roman" w:hAnsi="Cambria" w:cs="Cambria"/>
                <w:b/>
                <w:bCs/>
                <w:lang w:eastAsia="en-US"/>
              </w:rPr>
              <w:t>CDB - Art. 7°, VI</w:t>
            </w:r>
          </w:p>
        </w:tc>
        <w:tc>
          <w:tcPr>
            <w:tcW w:w="1559" w:type="dxa"/>
            <w:tcBorders>
              <w:top w:val="dotted" w:sz="4" w:space="0" w:color="00000A"/>
              <w:bottom w:val="single"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15%</w:t>
            </w:r>
          </w:p>
        </w:tc>
        <w:tc>
          <w:tcPr>
            <w:tcW w:w="1701" w:type="dxa"/>
            <w:tcBorders>
              <w:top w:val="dotted"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10%</w:t>
            </w:r>
          </w:p>
        </w:tc>
        <w:tc>
          <w:tcPr>
            <w:tcW w:w="1700" w:type="dxa"/>
            <w:tcBorders>
              <w:top w:val="dotted" w:sz="4" w:space="0" w:color="00000A"/>
              <w:bottom w:val="single"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15%</w:t>
            </w:r>
          </w:p>
        </w:tc>
      </w:tr>
      <w:tr w:rsidR="00CE3812" w:rsidRPr="007F3363" w:rsidTr="00075B8E">
        <w:trPr>
          <w:trHeight w:val="300"/>
        </w:trPr>
        <w:tc>
          <w:tcPr>
            <w:tcW w:w="5415" w:type="dxa"/>
            <w:tcBorders>
              <w:top w:val="dotted" w:sz="4" w:space="0" w:color="00000A"/>
              <w:bottom w:val="single" w:sz="4" w:space="0" w:color="00000A"/>
            </w:tcBorders>
            <w:shd w:val="clear" w:color="auto" w:fill="auto"/>
            <w:vAlign w:val="bottom"/>
          </w:tcPr>
          <w:p w:rsidR="00CE3812" w:rsidRPr="007F3363" w:rsidRDefault="00CE3812" w:rsidP="00075B8E">
            <w:pPr>
              <w:spacing w:after="0"/>
              <w:jc w:val="left"/>
              <w:rPr>
                <w:rFonts w:ascii="Cambria" w:eastAsia="Times New Roman" w:hAnsi="Cambria" w:cs="Cambria"/>
                <w:lang w:eastAsia="en-US"/>
              </w:rPr>
            </w:pPr>
            <w:r w:rsidRPr="007F3363">
              <w:rPr>
                <w:rFonts w:ascii="Cambria" w:eastAsia="Times New Roman" w:hAnsi="Cambria" w:cs="Cambria"/>
                <w:b/>
                <w:bCs/>
                <w:lang w:eastAsia="en-US"/>
              </w:rPr>
              <w:t>Poupança - Art. 7°, VI</w:t>
            </w:r>
          </w:p>
        </w:tc>
        <w:tc>
          <w:tcPr>
            <w:tcW w:w="1559" w:type="dxa"/>
            <w:tcBorders>
              <w:top w:val="dotted" w:sz="4" w:space="0" w:color="00000A"/>
              <w:bottom w:val="single" w:sz="4" w:space="0" w:color="00000A"/>
            </w:tcBorders>
            <w:shd w:val="clear" w:color="auto" w:fill="auto"/>
            <w:vAlign w:val="bottom"/>
          </w:tcPr>
          <w:p w:rsidR="00CE3812" w:rsidRPr="007F3363" w:rsidRDefault="00CE3812" w:rsidP="00075B8E">
            <w:pPr>
              <w:spacing w:after="0"/>
              <w:jc w:val="center"/>
              <w:rPr>
                <w:rFonts w:ascii="Cambria" w:eastAsia="Times New Roman" w:hAnsi="Cambria" w:cs="Cambria"/>
                <w:lang w:eastAsia="en-US"/>
              </w:rPr>
            </w:pPr>
            <w:r w:rsidRPr="007F3363">
              <w:rPr>
                <w:rFonts w:ascii="Cambria" w:eastAsia="Times New Roman" w:hAnsi="Cambria" w:cs="Cambria"/>
                <w:b/>
                <w:bCs/>
                <w:lang w:eastAsia="en-US"/>
              </w:rPr>
              <w:t>15%</w:t>
            </w:r>
          </w:p>
        </w:tc>
        <w:tc>
          <w:tcPr>
            <w:tcW w:w="1701" w:type="dxa"/>
            <w:tcBorders>
              <w:top w:val="dotted"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0%</w:t>
            </w:r>
          </w:p>
        </w:tc>
        <w:tc>
          <w:tcPr>
            <w:tcW w:w="1700" w:type="dxa"/>
            <w:tcBorders>
              <w:top w:val="dotted" w:sz="4" w:space="0" w:color="00000A"/>
              <w:bottom w:val="single" w:sz="4" w:space="0" w:color="00000A"/>
            </w:tcBorders>
            <w:shd w:val="clear" w:color="auto" w:fill="auto"/>
            <w:vAlign w:val="bottom"/>
          </w:tcPr>
          <w:p w:rsidR="00CE3812" w:rsidRPr="007F3363" w:rsidRDefault="00CE3812" w:rsidP="00075B8E">
            <w:pPr>
              <w:spacing w:after="0"/>
              <w:jc w:val="center"/>
              <w:rPr>
                <w:rFonts w:ascii="Cambria" w:eastAsia="Times New Roman" w:hAnsi="Cambria" w:cs="Cambria"/>
                <w:lang w:eastAsia="en-US"/>
              </w:rPr>
            </w:pPr>
            <w:r w:rsidRPr="007F3363">
              <w:rPr>
                <w:rFonts w:ascii="Cambria" w:eastAsia="Times New Roman" w:hAnsi="Cambria" w:cs="Cambria"/>
                <w:b/>
                <w:bCs/>
                <w:lang w:eastAsia="en-US"/>
              </w:rPr>
              <w:t>15%</w:t>
            </w:r>
          </w:p>
        </w:tc>
      </w:tr>
      <w:tr w:rsidR="00CE3812" w:rsidRPr="007F3363" w:rsidTr="00075B8E">
        <w:trPr>
          <w:trHeight w:val="300"/>
        </w:trPr>
        <w:tc>
          <w:tcPr>
            <w:tcW w:w="5415" w:type="dxa"/>
            <w:tcBorders>
              <w:top w:val="dotted" w:sz="4" w:space="0" w:color="00000A"/>
              <w:bottom w:val="single" w:sz="4" w:space="0" w:color="00000A"/>
            </w:tcBorders>
            <w:shd w:val="clear" w:color="auto" w:fill="auto"/>
            <w:vAlign w:val="bottom"/>
          </w:tcPr>
          <w:p w:rsidR="00CE3812" w:rsidRPr="007F3363" w:rsidRDefault="00CE3812" w:rsidP="00075B8E">
            <w:pPr>
              <w:spacing w:after="0"/>
              <w:jc w:val="left"/>
              <w:rPr>
                <w:b/>
                <w:bCs/>
              </w:rPr>
            </w:pPr>
            <w:r w:rsidRPr="007F3363">
              <w:rPr>
                <w:rFonts w:ascii="Cambria" w:eastAsia="Times New Roman" w:hAnsi="Cambria" w:cs="Cambria"/>
                <w:b/>
                <w:bCs/>
                <w:lang w:eastAsia="en-US"/>
              </w:rPr>
              <w:t>FI em Direitos Creditórios - Fechado - Art. 7°, VII, "a"</w:t>
            </w:r>
          </w:p>
        </w:tc>
        <w:tc>
          <w:tcPr>
            <w:tcW w:w="1559" w:type="dxa"/>
            <w:tcBorders>
              <w:top w:val="dotted" w:sz="4" w:space="0" w:color="00000A"/>
              <w:bottom w:val="single"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5%</w:t>
            </w:r>
          </w:p>
        </w:tc>
        <w:tc>
          <w:tcPr>
            <w:tcW w:w="1701" w:type="dxa"/>
            <w:tcBorders>
              <w:top w:val="dotted"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0%</w:t>
            </w:r>
          </w:p>
        </w:tc>
        <w:tc>
          <w:tcPr>
            <w:tcW w:w="1700" w:type="dxa"/>
            <w:tcBorders>
              <w:top w:val="dotted"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b/>
                <w:bCs/>
                <w:lang w:eastAsia="en-US"/>
              </w:rPr>
            </w:pPr>
            <w:r w:rsidRPr="007F3363">
              <w:rPr>
                <w:rFonts w:ascii="Cambria" w:eastAsia="Times New Roman" w:hAnsi="Cambria" w:cs="Times New Roman"/>
                <w:b/>
                <w:bCs/>
                <w:lang w:eastAsia="en-US"/>
              </w:rPr>
              <w:t>5%</w:t>
            </w:r>
          </w:p>
        </w:tc>
      </w:tr>
      <w:tr w:rsidR="00CE3812" w:rsidRPr="007F3363" w:rsidTr="00075B8E">
        <w:trPr>
          <w:trHeight w:val="300"/>
        </w:trPr>
        <w:tc>
          <w:tcPr>
            <w:tcW w:w="5415" w:type="dxa"/>
            <w:tcBorders>
              <w:top w:val="dotted" w:sz="4" w:space="0" w:color="00000A"/>
              <w:bottom w:val="single" w:sz="4" w:space="0" w:color="00000A"/>
            </w:tcBorders>
            <w:shd w:val="clear" w:color="auto" w:fill="auto"/>
            <w:vAlign w:val="bottom"/>
          </w:tcPr>
          <w:p w:rsidR="00CE3812" w:rsidRPr="007F3363" w:rsidRDefault="00CE3812" w:rsidP="00075B8E">
            <w:pPr>
              <w:spacing w:after="0"/>
              <w:ind w:left="-93"/>
              <w:jc w:val="left"/>
              <w:rPr>
                <w:rFonts w:ascii="Cambria" w:eastAsia="Times New Roman" w:hAnsi="Cambria" w:cs="Cambria"/>
                <w:lang w:eastAsia="en-US"/>
              </w:rPr>
            </w:pPr>
            <w:r w:rsidRPr="007F3363">
              <w:rPr>
                <w:rFonts w:ascii="Cambria" w:eastAsia="Times New Roman" w:hAnsi="Cambria" w:cs="Cambria"/>
                <w:b/>
                <w:bCs/>
                <w:lang w:eastAsia="en-US"/>
              </w:rPr>
              <w:t>FI Renda Fixa Crédito Privado - Art. 7°, VII, "b"</w:t>
            </w:r>
          </w:p>
        </w:tc>
        <w:tc>
          <w:tcPr>
            <w:tcW w:w="1559" w:type="dxa"/>
            <w:tcBorders>
              <w:top w:val="dotted" w:sz="4" w:space="0" w:color="00000A"/>
              <w:bottom w:val="single"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5%</w:t>
            </w:r>
          </w:p>
        </w:tc>
        <w:tc>
          <w:tcPr>
            <w:tcW w:w="1701" w:type="dxa"/>
            <w:tcBorders>
              <w:top w:val="dotted"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0%</w:t>
            </w:r>
          </w:p>
        </w:tc>
        <w:tc>
          <w:tcPr>
            <w:tcW w:w="1700" w:type="dxa"/>
            <w:tcBorders>
              <w:top w:val="dotted" w:sz="4" w:space="0" w:color="00000A"/>
              <w:bottom w:val="single" w:sz="4" w:space="0" w:color="00000A"/>
            </w:tcBorders>
            <w:shd w:val="clear" w:color="auto" w:fill="auto"/>
            <w:vAlign w:val="bottom"/>
          </w:tcPr>
          <w:p w:rsidR="00CE3812" w:rsidRPr="007F3363" w:rsidRDefault="00CE3812" w:rsidP="00075B8E">
            <w:pPr>
              <w:spacing w:after="0"/>
              <w:jc w:val="center"/>
              <w:rPr>
                <w:rFonts w:asciiTheme="minorHAnsi" w:eastAsia="Times New Roman" w:hAnsiTheme="minorHAnsi" w:cs="Times New Roman"/>
                <w:b/>
                <w:bCs/>
                <w:lang w:eastAsia="en-US"/>
              </w:rPr>
            </w:pPr>
            <w:r w:rsidRPr="007F3363">
              <w:rPr>
                <w:rFonts w:ascii="Cambria" w:eastAsia="Times New Roman" w:hAnsi="Cambria" w:cs="Times New Roman"/>
                <w:b/>
                <w:bCs/>
                <w:lang w:eastAsia="en-US"/>
              </w:rPr>
              <w:t>5%</w:t>
            </w:r>
          </w:p>
        </w:tc>
      </w:tr>
      <w:tr w:rsidR="00CE3812" w:rsidRPr="007F3363" w:rsidTr="00075B8E">
        <w:trPr>
          <w:trHeight w:val="300"/>
        </w:trPr>
        <w:tc>
          <w:tcPr>
            <w:tcW w:w="5415" w:type="dxa"/>
            <w:tcBorders>
              <w:top w:val="single" w:sz="4" w:space="0" w:color="00000A"/>
              <w:bottom w:val="single" w:sz="4" w:space="0" w:color="00000A"/>
            </w:tcBorders>
            <w:shd w:val="clear" w:color="auto" w:fill="DDDDDD"/>
            <w:vAlign w:val="bottom"/>
          </w:tcPr>
          <w:p w:rsidR="00CE3812" w:rsidRPr="007F3363" w:rsidRDefault="00CE3812" w:rsidP="00075B8E">
            <w:pPr>
              <w:spacing w:after="0"/>
              <w:jc w:val="left"/>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RENDA VARIÁVEL - Art. 8°</w:t>
            </w:r>
          </w:p>
        </w:tc>
        <w:tc>
          <w:tcPr>
            <w:tcW w:w="1559" w:type="dxa"/>
            <w:tcBorders>
              <w:top w:val="single" w:sz="4" w:space="0" w:color="00000A"/>
              <w:bottom w:val="single" w:sz="4" w:space="0" w:color="00000A"/>
            </w:tcBorders>
            <w:shd w:val="clear" w:color="auto" w:fill="DDDDDD"/>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 </w:t>
            </w:r>
          </w:p>
        </w:tc>
        <w:tc>
          <w:tcPr>
            <w:tcW w:w="1701" w:type="dxa"/>
            <w:tcBorders>
              <w:top w:val="single" w:sz="4" w:space="0" w:color="00000A"/>
              <w:bottom w:val="single" w:sz="4" w:space="0" w:color="00000A"/>
            </w:tcBorders>
            <w:shd w:val="clear" w:color="auto" w:fill="DDDDDD"/>
            <w:vAlign w:val="bottom"/>
          </w:tcPr>
          <w:p w:rsidR="00CE3812" w:rsidRPr="007F3363" w:rsidRDefault="00CE3812" w:rsidP="00075B8E">
            <w:pPr>
              <w:spacing w:after="0"/>
              <w:jc w:val="center"/>
              <w:rPr>
                <w:rFonts w:asciiTheme="minorHAnsi" w:eastAsia="Times New Roman" w:hAnsiTheme="minorHAnsi" w:cs="Times New Roman"/>
                <w:b/>
                <w:bCs/>
                <w:lang w:eastAsia="en-US"/>
              </w:rPr>
            </w:pPr>
            <w:r w:rsidRPr="007F3363">
              <w:rPr>
                <w:rFonts w:asciiTheme="minorHAnsi" w:eastAsia="Times New Roman" w:hAnsiTheme="minorHAnsi" w:cs="Times New Roman"/>
                <w:b/>
                <w:bCs/>
                <w:lang w:eastAsia="en-US"/>
              </w:rPr>
              <w:t>20%</w:t>
            </w:r>
          </w:p>
        </w:tc>
        <w:tc>
          <w:tcPr>
            <w:tcW w:w="1700" w:type="dxa"/>
            <w:tcBorders>
              <w:top w:val="single" w:sz="4" w:space="0" w:color="00000A"/>
              <w:bottom w:val="single" w:sz="4" w:space="0" w:color="00000A"/>
            </w:tcBorders>
            <w:shd w:val="clear" w:color="auto" w:fill="DDDDDD"/>
            <w:vAlign w:val="bottom"/>
          </w:tcPr>
          <w:p w:rsidR="00CE3812" w:rsidRPr="007F3363" w:rsidRDefault="00CE3812" w:rsidP="00075B8E">
            <w:pPr>
              <w:spacing w:after="0"/>
              <w:jc w:val="center"/>
              <w:rPr>
                <w:rFonts w:asciiTheme="minorHAnsi" w:eastAsia="Times New Roman" w:hAnsiTheme="minorHAnsi" w:cs="Times New Roman"/>
                <w:lang w:eastAsia="en-US"/>
              </w:rPr>
            </w:pPr>
            <w:r w:rsidRPr="007F3363">
              <w:rPr>
                <w:rFonts w:asciiTheme="minorHAnsi" w:eastAsia="Times New Roman" w:hAnsiTheme="minorHAnsi" w:cs="Times New Roman"/>
                <w:b/>
                <w:bCs/>
                <w:lang w:eastAsia="en-US"/>
              </w:rPr>
              <w:t> </w:t>
            </w:r>
          </w:p>
        </w:tc>
      </w:tr>
      <w:tr w:rsidR="00CE3812" w:rsidRPr="007F3363" w:rsidTr="00075B8E">
        <w:trPr>
          <w:trHeight w:val="300"/>
        </w:trPr>
        <w:tc>
          <w:tcPr>
            <w:tcW w:w="5415" w:type="dxa"/>
            <w:tcBorders>
              <w:top w:val="single" w:sz="4" w:space="0" w:color="00000A"/>
              <w:bottom w:val="dotted" w:sz="4" w:space="0" w:color="00000A"/>
            </w:tcBorders>
            <w:shd w:val="clear" w:color="auto" w:fill="auto"/>
            <w:vAlign w:val="bottom"/>
          </w:tcPr>
          <w:p w:rsidR="00CE3812" w:rsidRPr="007F3363" w:rsidRDefault="00CE3812" w:rsidP="00075B8E">
            <w:pPr>
              <w:spacing w:after="0"/>
              <w:jc w:val="left"/>
              <w:rPr>
                <w:b/>
                <w:bCs/>
              </w:rPr>
            </w:pPr>
            <w:r w:rsidRPr="007F3363">
              <w:rPr>
                <w:rFonts w:ascii="Cambria" w:eastAsia="Times New Roman" w:hAnsi="Cambria" w:cs="Cambria"/>
                <w:b/>
                <w:bCs/>
                <w:lang w:eastAsia="en-US"/>
              </w:rPr>
              <w:t>FI Ações de Índices Aberto (mais 50 ações) - Art. 8°, I, "a"</w:t>
            </w:r>
          </w:p>
        </w:tc>
        <w:tc>
          <w:tcPr>
            <w:tcW w:w="1559" w:type="dxa"/>
            <w:tcBorders>
              <w:top w:val="single"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30%</w:t>
            </w:r>
          </w:p>
        </w:tc>
        <w:tc>
          <w:tcPr>
            <w:tcW w:w="1701" w:type="dxa"/>
            <w:tcBorders>
              <w:top w:val="single"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2,5%</w:t>
            </w:r>
          </w:p>
        </w:tc>
        <w:tc>
          <w:tcPr>
            <w:tcW w:w="1700" w:type="dxa"/>
            <w:tcBorders>
              <w:top w:val="single"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30%</w:t>
            </w:r>
          </w:p>
        </w:tc>
      </w:tr>
      <w:tr w:rsidR="00CE3812" w:rsidRPr="007F3363" w:rsidTr="00075B8E">
        <w:trPr>
          <w:trHeight w:val="300"/>
        </w:trPr>
        <w:tc>
          <w:tcPr>
            <w:tcW w:w="5415"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left"/>
              <w:rPr>
                <w:rFonts w:ascii="Cambria" w:eastAsia="Times New Roman" w:hAnsi="Cambria" w:cs="Cambria"/>
                <w:lang w:eastAsia="en-US"/>
              </w:rPr>
            </w:pPr>
            <w:r w:rsidRPr="007F3363">
              <w:rPr>
                <w:rFonts w:ascii="Cambria" w:eastAsia="Times New Roman" w:hAnsi="Cambria" w:cs="Cambria"/>
                <w:b/>
                <w:bCs/>
                <w:lang w:eastAsia="en-US"/>
              </w:rPr>
              <w:t>ETF de Índices</w:t>
            </w:r>
            <w:proofErr w:type="gramStart"/>
            <w:r w:rsidRPr="007F3363">
              <w:rPr>
                <w:rFonts w:ascii="Cambria" w:eastAsia="Times New Roman" w:hAnsi="Cambria" w:cs="Cambria"/>
                <w:b/>
                <w:bCs/>
                <w:lang w:eastAsia="en-US"/>
              </w:rPr>
              <w:t xml:space="preserve">  </w:t>
            </w:r>
            <w:proofErr w:type="gramEnd"/>
            <w:r w:rsidRPr="007F3363">
              <w:rPr>
                <w:rFonts w:ascii="Cambria" w:eastAsia="Times New Roman" w:hAnsi="Cambria" w:cs="Cambria"/>
                <w:b/>
                <w:bCs/>
                <w:lang w:eastAsia="en-US"/>
              </w:rPr>
              <w:t>(mais 50 ações) - art. 8ᵒ, I, "b"</w:t>
            </w:r>
          </w:p>
        </w:tc>
        <w:tc>
          <w:tcPr>
            <w:tcW w:w="1559"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Cambria" w:eastAsia="Times New Roman" w:hAnsi="Cambria" w:cs="Cambria"/>
                <w:lang w:eastAsia="en-US"/>
              </w:rPr>
            </w:pPr>
            <w:r w:rsidRPr="007F3363">
              <w:rPr>
                <w:rFonts w:ascii="Cambria" w:eastAsia="Times New Roman" w:hAnsi="Cambria" w:cs="Cambria"/>
                <w:b/>
                <w:bCs/>
                <w:lang w:eastAsia="en-US"/>
              </w:rPr>
              <w:t>30%</w:t>
            </w:r>
          </w:p>
        </w:tc>
        <w:tc>
          <w:tcPr>
            <w:tcW w:w="1701"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Cambria" w:eastAsia="Times New Roman" w:hAnsi="Cambria" w:cs="Cambria"/>
                <w:lang w:eastAsia="en-US"/>
              </w:rPr>
            </w:pPr>
            <w:r w:rsidRPr="007F3363">
              <w:rPr>
                <w:rFonts w:ascii="Cambria" w:eastAsia="Times New Roman" w:hAnsi="Cambria" w:cs="Cambria"/>
                <w:b/>
                <w:bCs/>
                <w:lang w:eastAsia="en-US"/>
              </w:rPr>
              <w:t>10%</w:t>
            </w:r>
          </w:p>
        </w:tc>
        <w:tc>
          <w:tcPr>
            <w:tcW w:w="1700"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Cambria" w:eastAsia="Times New Roman" w:hAnsi="Cambria" w:cs="Cambria"/>
                <w:lang w:eastAsia="en-US"/>
              </w:rPr>
            </w:pPr>
            <w:r w:rsidRPr="007F3363">
              <w:rPr>
                <w:rFonts w:ascii="Cambria" w:eastAsia="Times New Roman" w:hAnsi="Cambria" w:cs="Cambria"/>
                <w:b/>
                <w:bCs/>
                <w:lang w:eastAsia="en-US"/>
              </w:rPr>
              <w:t>30%</w:t>
            </w:r>
          </w:p>
        </w:tc>
      </w:tr>
      <w:tr w:rsidR="00CE3812" w:rsidRPr="007F3363" w:rsidTr="00075B8E">
        <w:trPr>
          <w:trHeight w:val="439"/>
        </w:trPr>
        <w:tc>
          <w:tcPr>
            <w:tcW w:w="5415"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left"/>
              <w:rPr>
                <w:b/>
                <w:bCs/>
              </w:rPr>
            </w:pPr>
            <w:r w:rsidRPr="007F3363">
              <w:rPr>
                <w:rFonts w:ascii="Cambria" w:eastAsia="Times New Roman" w:hAnsi="Cambria" w:cs="Cambria"/>
                <w:b/>
                <w:bCs/>
                <w:lang w:eastAsia="en-US"/>
              </w:rPr>
              <w:t>FI Ações de Índices Aberto - Art. 8°, II, "a "</w:t>
            </w:r>
          </w:p>
        </w:tc>
        <w:tc>
          <w:tcPr>
            <w:tcW w:w="1559"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Cambria" w:eastAsia="Times New Roman" w:hAnsi="Cambria" w:cs="Cambria"/>
                <w:lang w:eastAsia="en-US"/>
              </w:rPr>
            </w:pPr>
            <w:r w:rsidRPr="007F3363">
              <w:rPr>
                <w:rFonts w:ascii="Cambria" w:eastAsia="Times New Roman" w:hAnsi="Cambria" w:cs="Cambria"/>
                <w:b/>
                <w:bCs/>
                <w:lang w:eastAsia="en-US"/>
              </w:rPr>
              <w:t>20%</w:t>
            </w:r>
          </w:p>
        </w:tc>
        <w:tc>
          <w:tcPr>
            <w:tcW w:w="1701"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Cambria" w:eastAsia="Times New Roman" w:hAnsi="Cambria" w:cs="Cambria"/>
                <w:lang w:eastAsia="en-US"/>
              </w:rPr>
            </w:pPr>
            <w:r w:rsidRPr="007F3363">
              <w:rPr>
                <w:rFonts w:ascii="Cambria" w:eastAsia="Times New Roman" w:hAnsi="Cambria" w:cs="Cambria"/>
                <w:b/>
                <w:bCs/>
                <w:lang w:eastAsia="en-US"/>
              </w:rPr>
              <w:t>2,5%</w:t>
            </w:r>
          </w:p>
        </w:tc>
        <w:tc>
          <w:tcPr>
            <w:tcW w:w="1700"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Cambria" w:eastAsia="Times New Roman" w:hAnsi="Cambria" w:cs="Cambria"/>
                <w:lang w:eastAsia="en-US"/>
              </w:rPr>
            </w:pPr>
            <w:r w:rsidRPr="007F3363">
              <w:rPr>
                <w:rFonts w:ascii="Cambria" w:eastAsia="Times New Roman" w:hAnsi="Cambria" w:cs="Cambria"/>
                <w:b/>
                <w:bCs/>
                <w:lang w:eastAsia="en-US"/>
              </w:rPr>
              <w:t>20%</w:t>
            </w:r>
          </w:p>
        </w:tc>
      </w:tr>
      <w:tr w:rsidR="00CE3812" w:rsidRPr="007F3363" w:rsidTr="00075B8E">
        <w:trPr>
          <w:trHeight w:val="300"/>
        </w:trPr>
        <w:tc>
          <w:tcPr>
            <w:tcW w:w="5415"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left"/>
              <w:rPr>
                <w:rFonts w:ascii="Cambria" w:eastAsia="Times New Roman" w:hAnsi="Cambria" w:cs="Cambria"/>
                <w:lang w:eastAsia="en-US"/>
              </w:rPr>
            </w:pPr>
            <w:r w:rsidRPr="007F3363">
              <w:rPr>
                <w:rFonts w:ascii="Cambria" w:eastAsia="Times New Roman" w:hAnsi="Cambria" w:cs="Cambria"/>
                <w:b/>
                <w:bCs/>
                <w:lang w:eastAsia="en-US"/>
              </w:rPr>
              <w:t>ETF de Índices</w:t>
            </w:r>
            <w:proofErr w:type="gramStart"/>
            <w:r w:rsidRPr="007F3363">
              <w:rPr>
                <w:rFonts w:ascii="Cambria" w:eastAsia="Times New Roman" w:hAnsi="Cambria" w:cs="Cambria"/>
                <w:b/>
                <w:bCs/>
                <w:lang w:eastAsia="en-US"/>
              </w:rPr>
              <w:t xml:space="preserve">  </w:t>
            </w:r>
            <w:proofErr w:type="gramEnd"/>
            <w:r w:rsidRPr="007F3363">
              <w:rPr>
                <w:rFonts w:ascii="Cambria" w:eastAsia="Times New Roman" w:hAnsi="Cambria" w:cs="Cambria"/>
                <w:b/>
                <w:bCs/>
                <w:lang w:eastAsia="en-US"/>
              </w:rPr>
              <w:t>(menos 50 ações) - art. 8ᵒ, II, "b"</w:t>
            </w:r>
          </w:p>
        </w:tc>
        <w:tc>
          <w:tcPr>
            <w:tcW w:w="1559"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Cambria" w:eastAsia="Times New Roman" w:hAnsi="Cambria" w:cs="Cambria"/>
                <w:lang w:eastAsia="en-US"/>
              </w:rPr>
            </w:pPr>
            <w:r w:rsidRPr="007F3363">
              <w:rPr>
                <w:rFonts w:ascii="Cambria" w:eastAsia="Times New Roman" w:hAnsi="Cambria" w:cs="Cambria"/>
                <w:b/>
                <w:bCs/>
                <w:lang w:eastAsia="en-US"/>
              </w:rPr>
              <w:t>20%</w:t>
            </w:r>
          </w:p>
        </w:tc>
        <w:tc>
          <w:tcPr>
            <w:tcW w:w="1701"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Cambria" w:eastAsia="Times New Roman" w:hAnsi="Cambria" w:cs="Cambria"/>
                <w:lang w:eastAsia="en-US"/>
              </w:rPr>
            </w:pPr>
            <w:r w:rsidRPr="007F3363">
              <w:rPr>
                <w:rFonts w:ascii="Cambria" w:eastAsia="Times New Roman" w:hAnsi="Cambria" w:cs="Cambria"/>
                <w:b/>
                <w:bCs/>
                <w:lang w:eastAsia="en-US"/>
              </w:rPr>
              <w:t>0%</w:t>
            </w:r>
          </w:p>
        </w:tc>
        <w:tc>
          <w:tcPr>
            <w:tcW w:w="1700"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rFonts w:ascii="Cambria" w:eastAsia="Times New Roman" w:hAnsi="Cambria" w:cs="Cambria"/>
                <w:lang w:eastAsia="en-US"/>
              </w:rPr>
            </w:pPr>
            <w:r w:rsidRPr="007F3363">
              <w:rPr>
                <w:rFonts w:ascii="Cambria" w:eastAsia="Times New Roman" w:hAnsi="Cambria" w:cs="Cambria"/>
                <w:b/>
                <w:bCs/>
                <w:lang w:eastAsia="en-US"/>
              </w:rPr>
              <w:t>20%</w:t>
            </w:r>
          </w:p>
        </w:tc>
      </w:tr>
      <w:tr w:rsidR="00CE3812" w:rsidRPr="007F3363" w:rsidTr="00075B8E">
        <w:trPr>
          <w:trHeight w:val="300"/>
        </w:trPr>
        <w:tc>
          <w:tcPr>
            <w:tcW w:w="5415"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left"/>
              <w:rPr>
                <w:b/>
                <w:bCs/>
              </w:rPr>
            </w:pPr>
            <w:r w:rsidRPr="007F3363">
              <w:rPr>
                <w:rFonts w:ascii="Cambria" w:eastAsia="Times New Roman" w:hAnsi="Cambria" w:cs="Cambria"/>
                <w:b/>
                <w:bCs/>
                <w:lang w:eastAsia="en-US"/>
              </w:rPr>
              <w:t>FI Multimercado - Aberto - Art. 8°, III</w:t>
            </w:r>
          </w:p>
        </w:tc>
        <w:tc>
          <w:tcPr>
            <w:tcW w:w="1559"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10%</w:t>
            </w:r>
          </w:p>
        </w:tc>
        <w:tc>
          <w:tcPr>
            <w:tcW w:w="1701"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5%</w:t>
            </w:r>
          </w:p>
        </w:tc>
        <w:tc>
          <w:tcPr>
            <w:tcW w:w="1700"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10%</w:t>
            </w:r>
          </w:p>
        </w:tc>
      </w:tr>
      <w:tr w:rsidR="00CE3812" w:rsidRPr="007F3363" w:rsidTr="00075B8E">
        <w:trPr>
          <w:trHeight w:val="300"/>
        </w:trPr>
        <w:tc>
          <w:tcPr>
            <w:tcW w:w="5415"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left"/>
              <w:rPr>
                <w:b/>
                <w:bCs/>
              </w:rPr>
            </w:pPr>
            <w:r w:rsidRPr="007F3363">
              <w:rPr>
                <w:rFonts w:ascii="Cambria" w:eastAsia="Times New Roman" w:hAnsi="Cambria" w:cs="Cambria"/>
                <w:b/>
                <w:bCs/>
                <w:lang w:eastAsia="en-US"/>
              </w:rPr>
              <w:t>FI em Participações - Fechado - Art. 8°, IV, "a"</w:t>
            </w:r>
          </w:p>
        </w:tc>
        <w:tc>
          <w:tcPr>
            <w:tcW w:w="1559"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5%</w:t>
            </w:r>
          </w:p>
        </w:tc>
        <w:tc>
          <w:tcPr>
            <w:tcW w:w="1701"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0%</w:t>
            </w:r>
          </w:p>
        </w:tc>
        <w:tc>
          <w:tcPr>
            <w:tcW w:w="1700" w:type="dxa"/>
            <w:tcBorders>
              <w:top w:val="dotted" w:sz="4" w:space="0" w:color="00000A"/>
              <w:bottom w:val="dotted"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5%</w:t>
            </w:r>
          </w:p>
        </w:tc>
      </w:tr>
      <w:tr w:rsidR="00CE3812" w:rsidRPr="007F3363" w:rsidTr="00075B8E">
        <w:trPr>
          <w:trHeight w:val="300"/>
        </w:trPr>
        <w:tc>
          <w:tcPr>
            <w:tcW w:w="5415" w:type="dxa"/>
            <w:tcBorders>
              <w:top w:val="dotted" w:sz="4" w:space="0" w:color="00000A"/>
              <w:bottom w:val="single" w:sz="4" w:space="0" w:color="00000A"/>
            </w:tcBorders>
            <w:shd w:val="clear" w:color="auto" w:fill="auto"/>
            <w:vAlign w:val="bottom"/>
          </w:tcPr>
          <w:p w:rsidR="00CE3812" w:rsidRPr="007F3363" w:rsidRDefault="00CE3812" w:rsidP="00075B8E">
            <w:pPr>
              <w:spacing w:after="0"/>
              <w:jc w:val="left"/>
              <w:rPr>
                <w:rFonts w:ascii="Cambria" w:eastAsia="Times New Roman" w:hAnsi="Cambria" w:cs="Cambria"/>
                <w:lang w:eastAsia="en-US"/>
              </w:rPr>
            </w:pPr>
            <w:r w:rsidRPr="007F3363">
              <w:rPr>
                <w:rFonts w:ascii="Cambria" w:eastAsia="Times New Roman" w:hAnsi="Cambria" w:cs="Cambria"/>
                <w:b/>
                <w:bCs/>
                <w:lang w:eastAsia="en-US"/>
              </w:rPr>
              <w:t>FI Imobiliário - Negociação em Bolsa - Art. 8°, IV, "b"</w:t>
            </w:r>
          </w:p>
        </w:tc>
        <w:tc>
          <w:tcPr>
            <w:tcW w:w="1559" w:type="dxa"/>
            <w:tcBorders>
              <w:top w:val="dotted" w:sz="4" w:space="0" w:color="00000A"/>
              <w:bottom w:val="single"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5%</w:t>
            </w:r>
          </w:p>
        </w:tc>
        <w:tc>
          <w:tcPr>
            <w:tcW w:w="1701" w:type="dxa"/>
            <w:tcBorders>
              <w:top w:val="dotted" w:sz="4" w:space="0" w:color="00000A"/>
              <w:bottom w:val="single"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5%</w:t>
            </w:r>
          </w:p>
        </w:tc>
        <w:tc>
          <w:tcPr>
            <w:tcW w:w="1700" w:type="dxa"/>
            <w:tcBorders>
              <w:top w:val="dotted" w:sz="4" w:space="0" w:color="00000A"/>
              <w:bottom w:val="single" w:sz="4" w:space="0" w:color="00000A"/>
            </w:tcBorders>
            <w:shd w:val="clear" w:color="auto" w:fill="auto"/>
            <w:vAlign w:val="bottom"/>
          </w:tcPr>
          <w:p w:rsidR="00CE3812" w:rsidRPr="007F3363" w:rsidRDefault="00CE3812" w:rsidP="00075B8E">
            <w:pPr>
              <w:spacing w:after="0"/>
              <w:jc w:val="center"/>
              <w:rPr>
                <w:b/>
                <w:bCs/>
              </w:rPr>
            </w:pPr>
            <w:r w:rsidRPr="007F3363">
              <w:rPr>
                <w:rFonts w:ascii="Cambria" w:eastAsia="Times New Roman" w:hAnsi="Cambria" w:cs="Cambria"/>
                <w:b/>
                <w:bCs/>
                <w:lang w:eastAsia="en-US"/>
              </w:rPr>
              <w:t>5%</w:t>
            </w:r>
          </w:p>
        </w:tc>
      </w:tr>
    </w:tbl>
    <w:p w:rsidR="00CE3812" w:rsidRPr="007F3363" w:rsidRDefault="00CE3812" w:rsidP="00CE3812">
      <w:pPr>
        <w:pStyle w:val="Heading21"/>
        <w:rPr>
          <w:rFonts w:asciiTheme="minorHAnsi" w:hAnsiTheme="minorHAnsi"/>
          <w:color w:val="00000A"/>
          <w:sz w:val="24"/>
          <w:szCs w:val="24"/>
        </w:rPr>
      </w:pPr>
    </w:p>
    <w:p w:rsidR="005A11FC" w:rsidRPr="007F3363" w:rsidRDefault="005A11FC" w:rsidP="00CD207C">
      <w:pPr>
        <w:pStyle w:val="Ttulo2"/>
        <w:rPr>
          <w:rFonts w:asciiTheme="minorHAnsi" w:hAnsiTheme="minorHAnsi"/>
          <w:color w:val="auto"/>
          <w:sz w:val="24"/>
          <w:szCs w:val="24"/>
        </w:rPr>
      </w:pPr>
      <w:r w:rsidRPr="007F3363">
        <w:rPr>
          <w:rFonts w:asciiTheme="minorHAnsi" w:hAnsiTheme="minorHAnsi"/>
          <w:color w:val="auto"/>
          <w:sz w:val="24"/>
          <w:szCs w:val="24"/>
        </w:rPr>
        <w:t>Acompanhamento dos Resultados</w:t>
      </w:r>
      <w:bookmarkEnd w:id="38"/>
    </w:p>
    <w:p w:rsidR="00401F68" w:rsidRPr="002D5E68" w:rsidRDefault="00401F68" w:rsidP="00CD207C">
      <w:pPr>
        <w:ind w:firstLine="720"/>
        <w:rPr>
          <w:rFonts w:asciiTheme="minorHAnsi" w:hAnsiTheme="minorHAnsi" w:cs="Times"/>
          <w:lang w:eastAsia="en-US"/>
        </w:rPr>
      </w:pPr>
      <w:r w:rsidRPr="007F3363">
        <w:rPr>
          <w:rFonts w:asciiTheme="minorHAnsi" w:hAnsiTheme="minorHAnsi"/>
        </w:rPr>
        <w:t>A avaliação será de caráter contínuo. Entretanto, no mínimo trimestralmente os gestores responsáveis devem elaborar relatórios detalhados sobre: a rentabilidade</w:t>
      </w:r>
      <w:r w:rsidRPr="007F3363">
        <w:rPr>
          <w:rFonts w:asciiTheme="minorHAnsi" w:hAnsiTheme="minorHAnsi"/>
          <w:lang w:eastAsia="en-US"/>
        </w:rPr>
        <w:t xml:space="preserve">, os riscos das diversas modalidades de operações realizadas nas aplicações dos recursos do </w:t>
      </w:r>
      <w:r w:rsidR="00EE046C" w:rsidRPr="007F3363">
        <w:rPr>
          <w:rFonts w:asciiTheme="minorHAnsi" w:hAnsiTheme="minorHAnsi"/>
          <w:lang w:eastAsia="en-US"/>
        </w:rPr>
        <w:t>Fundo</w:t>
      </w:r>
      <w:r w:rsidRPr="007F3363">
        <w:rPr>
          <w:rFonts w:asciiTheme="minorHAnsi" w:hAnsiTheme="minorHAnsi"/>
          <w:lang w:eastAsia="en-US"/>
        </w:rPr>
        <w:t xml:space="preserve"> e a aderência à </w:t>
      </w:r>
      <w:r w:rsidR="00B26E95" w:rsidRPr="007F3363">
        <w:rPr>
          <w:rFonts w:asciiTheme="minorHAnsi" w:hAnsiTheme="minorHAnsi"/>
          <w:lang w:eastAsia="en-US"/>
        </w:rPr>
        <w:t>política</w:t>
      </w:r>
      <w:r w:rsidRPr="007F3363">
        <w:rPr>
          <w:rFonts w:asciiTheme="minorHAnsi" w:hAnsiTheme="minorHAnsi"/>
          <w:lang w:eastAsia="en-US"/>
        </w:rPr>
        <w:t xml:space="preserve"> anual de investimentos. Neste trabalho, os gestores serão auxiliados uma Consultoria de Valores Mobiliários, especialmente contratada para esta finalidade, que elaborará relatórios bimestrais para avaliação do desempenho da carteira e dos veículos de investimentos </w:t>
      </w:r>
      <w:r w:rsidRPr="002D5E68">
        <w:rPr>
          <w:rFonts w:asciiTheme="minorHAnsi" w:hAnsiTheme="minorHAnsi"/>
          <w:lang w:eastAsia="en-US"/>
        </w:rPr>
        <w:t xml:space="preserve">do </w:t>
      </w:r>
      <w:r w:rsidR="00F55736" w:rsidRPr="002D5E68">
        <w:rPr>
          <w:rFonts w:asciiTheme="minorHAnsi" w:hAnsiTheme="minorHAnsi"/>
          <w:lang w:eastAsia="en-US"/>
        </w:rPr>
        <w:t>Fundo</w:t>
      </w:r>
      <w:r w:rsidRPr="002D5E68">
        <w:rPr>
          <w:rFonts w:asciiTheme="minorHAnsi" w:hAnsiTheme="minorHAnsi"/>
          <w:lang w:eastAsia="en-US"/>
        </w:rPr>
        <w:t xml:space="preserve">. </w:t>
      </w:r>
    </w:p>
    <w:p w:rsidR="00401F68" w:rsidRPr="007F3363" w:rsidRDefault="00401F68" w:rsidP="00CD207C">
      <w:pPr>
        <w:ind w:firstLine="720"/>
        <w:rPr>
          <w:rFonts w:asciiTheme="minorHAnsi" w:hAnsiTheme="minorHAnsi"/>
          <w:lang w:eastAsia="en-US"/>
        </w:rPr>
      </w:pPr>
      <w:r w:rsidRPr="007F3363">
        <w:rPr>
          <w:rFonts w:asciiTheme="minorHAnsi" w:hAnsiTheme="minorHAnsi"/>
          <w:lang w:eastAsia="en-US"/>
        </w:rPr>
        <w:t>Ademais, o Comitê de Investimentos tem obrigação de acompanhar a execução e implementação desta política de investimentos.</w:t>
      </w:r>
    </w:p>
    <w:p w:rsidR="009B6EF3" w:rsidRPr="007F3363" w:rsidRDefault="009B6EF3" w:rsidP="00CD207C">
      <w:pPr>
        <w:pStyle w:val="Ttulo1"/>
        <w:rPr>
          <w:rFonts w:asciiTheme="minorHAnsi" w:hAnsiTheme="minorHAnsi"/>
          <w:sz w:val="24"/>
          <w:szCs w:val="24"/>
          <w:lang w:eastAsia="en-US"/>
        </w:rPr>
      </w:pPr>
      <w:bookmarkStart w:id="41" w:name="_Toc494961933"/>
      <w:r w:rsidRPr="007F3363">
        <w:rPr>
          <w:rFonts w:asciiTheme="minorHAnsi" w:hAnsiTheme="minorHAnsi"/>
          <w:sz w:val="24"/>
          <w:szCs w:val="24"/>
          <w:lang w:eastAsia="en-US"/>
        </w:rPr>
        <w:t>Validade</w:t>
      </w:r>
      <w:bookmarkEnd w:id="41"/>
    </w:p>
    <w:p w:rsidR="002F3129" w:rsidRPr="007F3363" w:rsidRDefault="009B6EF3" w:rsidP="00A97146">
      <w:pPr>
        <w:ind w:firstLine="720"/>
        <w:rPr>
          <w:rFonts w:asciiTheme="minorHAnsi" w:hAnsiTheme="minorHAnsi"/>
        </w:rPr>
      </w:pPr>
      <w:r w:rsidRPr="007F3363">
        <w:rPr>
          <w:rFonts w:asciiTheme="minorHAnsi" w:hAnsiTheme="minorHAnsi"/>
        </w:rPr>
        <w:t xml:space="preserve">O presente documento </w:t>
      </w:r>
      <w:r w:rsidR="00745896" w:rsidRPr="007F3363">
        <w:rPr>
          <w:rFonts w:asciiTheme="minorHAnsi" w:hAnsiTheme="minorHAnsi"/>
        </w:rPr>
        <w:t>será válido até</w:t>
      </w:r>
      <w:r w:rsidR="009010D6" w:rsidRPr="007F3363">
        <w:rPr>
          <w:rFonts w:asciiTheme="minorHAnsi" w:hAnsiTheme="minorHAnsi"/>
        </w:rPr>
        <w:t xml:space="preserve"> </w:t>
      </w:r>
      <w:r w:rsidR="00745896" w:rsidRPr="007F3363">
        <w:rPr>
          <w:rFonts w:asciiTheme="minorHAnsi" w:hAnsiTheme="minorHAnsi"/>
        </w:rPr>
        <w:t xml:space="preserve">31 de Dezembro de </w:t>
      </w:r>
      <w:r w:rsidR="005516DB" w:rsidRPr="007F3363">
        <w:rPr>
          <w:rFonts w:asciiTheme="minorHAnsi" w:hAnsiTheme="minorHAnsi"/>
        </w:rPr>
        <w:t>201</w:t>
      </w:r>
      <w:r w:rsidR="00186D94" w:rsidRPr="007F3363">
        <w:rPr>
          <w:rFonts w:asciiTheme="minorHAnsi" w:hAnsiTheme="minorHAnsi"/>
        </w:rPr>
        <w:t>9</w:t>
      </w:r>
      <w:r w:rsidRPr="007F3363">
        <w:rPr>
          <w:rFonts w:asciiTheme="minorHAnsi" w:hAnsiTheme="minorHAnsi"/>
        </w:rPr>
        <w:t>.</w:t>
      </w:r>
    </w:p>
    <w:p w:rsidR="00EC350D" w:rsidRPr="007F3363" w:rsidRDefault="00EC350D" w:rsidP="00CD207C">
      <w:pPr>
        <w:pStyle w:val="Ttulo1"/>
        <w:rPr>
          <w:rFonts w:asciiTheme="minorHAnsi" w:hAnsiTheme="minorHAnsi"/>
          <w:sz w:val="24"/>
          <w:szCs w:val="24"/>
        </w:rPr>
      </w:pPr>
      <w:bookmarkStart w:id="42" w:name="_Toc494961934"/>
      <w:r w:rsidRPr="007F3363">
        <w:rPr>
          <w:rFonts w:asciiTheme="minorHAnsi" w:hAnsiTheme="minorHAnsi"/>
          <w:sz w:val="24"/>
          <w:szCs w:val="24"/>
        </w:rPr>
        <w:lastRenderedPageBreak/>
        <w:t>Divulgação da Política de Investimento</w:t>
      </w:r>
      <w:bookmarkEnd w:id="42"/>
    </w:p>
    <w:p w:rsidR="009B0953" w:rsidRPr="007F3363" w:rsidRDefault="00EC350D" w:rsidP="00CD207C">
      <w:pPr>
        <w:ind w:firstLine="720"/>
        <w:rPr>
          <w:rFonts w:asciiTheme="minorHAnsi" w:hAnsiTheme="minorHAnsi"/>
        </w:rPr>
      </w:pPr>
      <w:r w:rsidRPr="007F3363">
        <w:rPr>
          <w:rFonts w:asciiTheme="minorHAnsi" w:hAnsiTheme="minorHAnsi"/>
        </w:rPr>
        <w:t>Esta política de investimentos será divulgada por meio eletrônico, através d</w:t>
      </w:r>
      <w:r w:rsidR="00CC363D" w:rsidRPr="007F3363">
        <w:rPr>
          <w:rFonts w:asciiTheme="minorHAnsi" w:hAnsiTheme="minorHAnsi"/>
        </w:rPr>
        <w:t>o website do Município</w:t>
      </w:r>
      <w:r w:rsidRPr="007F3363">
        <w:rPr>
          <w:rFonts w:asciiTheme="minorHAnsi" w:hAnsiTheme="minorHAnsi"/>
        </w:rPr>
        <w:t xml:space="preserve"> e também pela distribuição no formato impresso aos conselheiros representantes do Fundo de cada secretaria desta municipalidade. Além disso, será exposto no mural da prefeitura para livre acesso a todos interessados.</w:t>
      </w:r>
    </w:p>
    <w:p w:rsidR="009B6EF3" w:rsidRPr="007F3363" w:rsidRDefault="009B6EF3" w:rsidP="00CD207C">
      <w:pPr>
        <w:pStyle w:val="Ttulo1"/>
        <w:rPr>
          <w:rFonts w:asciiTheme="minorHAnsi" w:hAnsiTheme="minorHAnsi"/>
          <w:sz w:val="24"/>
          <w:szCs w:val="24"/>
        </w:rPr>
      </w:pPr>
      <w:bookmarkStart w:id="43" w:name="_Toc494961935"/>
      <w:r w:rsidRPr="007F3363">
        <w:rPr>
          <w:rFonts w:asciiTheme="minorHAnsi" w:hAnsiTheme="minorHAnsi"/>
          <w:sz w:val="24"/>
          <w:szCs w:val="24"/>
        </w:rPr>
        <w:t>Disposições Finais</w:t>
      </w:r>
      <w:bookmarkEnd w:id="43"/>
    </w:p>
    <w:p w:rsidR="009B6EF3" w:rsidRPr="007F3363" w:rsidRDefault="009B6EF3" w:rsidP="00CD207C">
      <w:pPr>
        <w:ind w:firstLine="720"/>
        <w:rPr>
          <w:rFonts w:asciiTheme="minorHAnsi" w:hAnsiTheme="minorHAnsi"/>
          <w:lang w:eastAsia="en-US"/>
        </w:rPr>
      </w:pPr>
      <w:r w:rsidRPr="007F3363">
        <w:rPr>
          <w:rFonts w:asciiTheme="minorHAnsi" w:hAnsiTheme="minorHAnsi"/>
        </w:rPr>
        <w:t>A presente política deverá ser implementada no ex</w:t>
      </w:r>
      <w:r w:rsidR="00B7225F" w:rsidRPr="007F3363">
        <w:rPr>
          <w:rFonts w:asciiTheme="minorHAnsi" w:hAnsiTheme="minorHAnsi"/>
        </w:rPr>
        <w:t>ercício de 201</w:t>
      </w:r>
      <w:r w:rsidR="00894F79" w:rsidRPr="007F3363">
        <w:rPr>
          <w:rFonts w:asciiTheme="minorHAnsi" w:hAnsiTheme="minorHAnsi"/>
        </w:rPr>
        <w:t>9</w:t>
      </w:r>
      <w:r w:rsidRPr="007F3363">
        <w:rPr>
          <w:rFonts w:asciiTheme="minorHAnsi" w:hAnsiTheme="minorHAnsi"/>
        </w:rPr>
        <w:t xml:space="preserve">. Esta poderá, justificadamente, ser revista no curso de sua execução, com vistas à adequação ao mercado ou à nova legislação. Neste caso, far-se-á necessário a elaboração e aprovação de uma </w:t>
      </w:r>
      <w:r w:rsidR="009B6E4F" w:rsidRPr="007F3363">
        <w:rPr>
          <w:rFonts w:asciiTheme="minorHAnsi" w:hAnsiTheme="minorHAnsi"/>
        </w:rPr>
        <w:t>nova política de investimentos.</w:t>
      </w:r>
      <w:r w:rsidRPr="007F3363">
        <w:rPr>
          <w:rFonts w:asciiTheme="minorHAnsi" w:hAnsiTheme="minorHAnsi"/>
        </w:rPr>
        <w:t xml:space="preserve"> </w:t>
      </w:r>
      <w:r w:rsidRPr="007F3363">
        <w:rPr>
          <w:rFonts w:asciiTheme="minorHAnsi" w:hAnsiTheme="minorHAnsi"/>
          <w:lang w:eastAsia="en-US"/>
        </w:rPr>
        <w:t xml:space="preserve">A Resolução 3.922/2010 exige que a política anual de investimentos e suas revisões sejam aprovadas pelo órgão superior competente antes de sua implementação. </w:t>
      </w:r>
    </w:p>
    <w:p w:rsidR="009B6EF3" w:rsidRPr="007F3363" w:rsidRDefault="009B6EF3" w:rsidP="00CD207C">
      <w:pPr>
        <w:ind w:firstLine="720"/>
        <w:rPr>
          <w:rFonts w:asciiTheme="minorHAnsi" w:hAnsiTheme="minorHAnsi"/>
        </w:rPr>
      </w:pPr>
      <w:r w:rsidRPr="007F3363">
        <w:rPr>
          <w:rFonts w:asciiTheme="minorHAnsi" w:hAnsiTheme="minorHAnsi"/>
        </w:rPr>
        <w:t>Não havendo alterações, esta Política de Investimento deve ser revisada pelo menos uma vez ao ano.</w:t>
      </w:r>
    </w:p>
    <w:p w:rsidR="00DA2393" w:rsidRPr="007F3363" w:rsidRDefault="009B6EF3" w:rsidP="00CD207C">
      <w:pPr>
        <w:ind w:firstLine="720"/>
        <w:rPr>
          <w:rFonts w:asciiTheme="minorHAnsi" w:hAnsiTheme="minorHAnsi"/>
          <w:lang w:eastAsia="en-US"/>
        </w:rPr>
      </w:pPr>
      <w:r w:rsidRPr="007F3363">
        <w:rPr>
          <w:rFonts w:asciiTheme="minorHAnsi" w:hAnsiTheme="minorHAnsi"/>
          <w:lang w:eastAsia="en-US"/>
        </w:rPr>
        <w:t>O presente documento foi aprovado pelo Comitê de Investimentos d</w:t>
      </w:r>
      <w:r w:rsidR="00F07176" w:rsidRPr="007F3363">
        <w:rPr>
          <w:rFonts w:asciiTheme="minorHAnsi" w:hAnsiTheme="minorHAnsi"/>
          <w:lang w:eastAsia="en-US"/>
        </w:rPr>
        <w:t xml:space="preserve">o </w:t>
      </w:r>
      <w:r w:rsidR="001E3220" w:rsidRPr="007F3363">
        <w:rPr>
          <w:rFonts w:asciiTheme="minorHAnsi" w:hAnsiTheme="minorHAnsi"/>
        </w:rPr>
        <w:t xml:space="preserve">RPPS – </w:t>
      </w:r>
      <w:r w:rsidR="0073786F" w:rsidRPr="007F3363">
        <w:rPr>
          <w:rFonts w:asciiTheme="minorHAnsi" w:hAnsiTheme="minorHAnsi"/>
        </w:rPr>
        <w:t>São Nicolau</w:t>
      </w:r>
      <w:r w:rsidRPr="007F3363">
        <w:rPr>
          <w:rFonts w:asciiTheme="minorHAnsi" w:hAnsiTheme="minorHAnsi"/>
          <w:lang w:eastAsia="en-US"/>
        </w:rPr>
        <w:t>, conforme Ata de Aprovação da Pol</w:t>
      </w:r>
      <w:r w:rsidR="00F07176" w:rsidRPr="007F3363">
        <w:rPr>
          <w:rFonts w:asciiTheme="minorHAnsi" w:hAnsiTheme="minorHAnsi"/>
          <w:lang w:eastAsia="en-US"/>
        </w:rPr>
        <w:t>ítica de Investimentos</w:t>
      </w:r>
    </w:p>
    <w:p w:rsidR="008C38BD" w:rsidRPr="00177E7C" w:rsidRDefault="0073786F" w:rsidP="00CD207C">
      <w:pPr>
        <w:ind w:firstLine="720"/>
        <w:rPr>
          <w:rFonts w:asciiTheme="minorHAnsi" w:hAnsiTheme="minorHAnsi"/>
          <w:lang w:eastAsia="en-US"/>
        </w:rPr>
      </w:pPr>
      <w:r w:rsidRPr="00177E7C">
        <w:rPr>
          <w:rFonts w:asciiTheme="minorHAnsi" w:hAnsiTheme="minorHAnsi"/>
          <w:lang w:eastAsia="en-US"/>
        </w:rPr>
        <w:t>São Nicolau</w:t>
      </w:r>
      <w:r w:rsidR="00774C9C" w:rsidRPr="00177E7C">
        <w:rPr>
          <w:rFonts w:asciiTheme="minorHAnsi" w:hAnsiTheme="minorHAnsi"/>
          <w:lang w:eastAsia="en-US"/>
        </w:rPr>
        <w:t xml:space="preserve">, </w:t>
      </w:r>
      <w:r w:rsidR="00F55736" w:rsidRPr="00177E7C">
        <w:rPr>
          <w:rFonts w:asciiTheme="minorHAnsi" w:hAnsiTheme="minorHAnsi"/>
          <w:lang w:eastAsia="en-US"/>
        </w:rPr>
        <w:t>26</w:t>
      </w:r>
      <w:r w:rsidR="00774C9C" w:rsidRPr="00177E7C">
        <w:rPr>
          <w:rFonts w:asciiTheme="minorHAnsi" w:hAnsiTheme="minorHAnsi"/>
          <w:lang w:eastAsia="en-US"/>
        </w:rPr>
        <w:t xml:space="preserve"> de </w:t>
      </w:r>
      <w:r w:rsidR="00834406" w:rsidRPr="00177E7C">
        <w:rPr>
          <w:rFonts w:asciiTheme="minorHAnsi" w:hAnsiTheme="minorHAnsi"/>
          <w:lang w:eastAsia="en-US"/>
        </w:rPr>
        <w:t>Outubro</w:t>
      </w:r>
      <w:r w:rsidR="00774C9C" w:rsidRPr="00177E7C">
        <w:rPr>
          <w:rFonts w:asciiTheme="minorHAnsi" w:hAnsiTheme="minorHAnsi"/>
          <w:lang w:eastAsia="en-US"/>
        </w:rPr>
        <w:t xml:space="preserve"> de 201</w:t>
      </w:r>
      <w:r w:rsidR="00894F79" w:rsidRPr="00177E7C">
        <w:rPr>
          <w:rFonts w:asciiTheme="minorHAnsi" w:hAnsiTheme="minorHAnsi"/>
          <w:lang w:eastAsia="en-US"/>
        </w:rPr>
        <w:t>8</w:t>
      </w:r>
      <w:r w:rsidR="00774C9C" w:rsidRPr="00177E7C">
        <w:rPr>
          <w:rFonts w:asciiTheme="minorHAnsi" w:hAnsiTheme="minorHAnsi"/>
          <w:lang w:eastAsia="en-US"/>
        </w:rPr>
        <w:t>.</w:t>
      </w:r>
    </w:p>
    <w:p w:rsidR="00774C9C" w:rsidRPr="00177E7C" w:rsidRDefault="009B6EF3" w:rsidP="00CD207C">
      <w:pPr>
        <w:spacing w:after="0"/>
        <w:ind w:firstLine="720"/>
        <w:contextualSpacing/>
        <w:rPr>
          <w:rFonts w:asciiTheme="minorHAnsi" w:hAnsiTheme="minorHAnsi"/>
          <w:lang w:eastAsia="en-US"/>
        </w:rPr>
      </w:pPr>
      <w:r w:rsidRPr="00177E7C">
        <w:rPr>
          <w:rFonts w:asciiTheme="minorHAnsi" w:hAnsiTheme="minorHAnsi"/>
          <w:lang w:eastAsia="en-US"/>
        </w:rPr>
        <w:t>Responsável pela elaboração da Política de Investimentos:</w:t>
      </w:r>
    </w:p>
    <w:p w:rsidR="00774C9C" w:rsidRPr="00177E7C" w:rsidRDefault="00774C9C" w:rsidP="00CD207C">
      <w:pPr>
        <w:pStyle w:val="SemEspaamento"/>
        <w:spacing w:line="360" w:lineRule="auto"/>
        <w:rPr>
          <w:rFonts w:asciiTheme="minorHAnsi" w:hAnsiTheme="minorHAnsi"/>
          <w:sz w:val="24"/>
          <w:lang w:eastAsia="en-US"/>
        </w:rPr>
      </w:pPr>
    </w:p>
    <w:p w:rsidR="009010D6" w:rsidRPr="00177E7C" w:rsidRDefault="009010D6" w:rsidP="00CD207C">
      <w:pPr>
        <w:jc w:val="right"/>
        <w:rPr>
          <w:rFonts w:asciiTheme="minorHAnsi" w:hAnsiTheme="minorHAnsi"/>
          <w:lang w:eastAsia="en-US"/>
        </w:rPr>
      </w:pPr>
    </w:p>
    <w:p w:rsidR="006C52CB" w:rsidRPr="00177E7C" w:rsidRDefault="006B083F" w:rsidP="006C52CB">
      <w:pPr>
        <w:spacing w:after="0" w:line="240" w:lineRule="auto"/>
        <w:rPr>
          <w:rFonts w:asciiTheme="minorHAnsi" w:eastAsia="Calibri" w:hAnsiTheme="minorHAnsi"/>
        </w:rPr>
      </w:pPr>
      <w:r w:rsidRPr="00177E7C">
        <w:rPr>
          <w:rFonts w:asciiTheme="minorHAnsi" w:hAnsiTheme="minorHAnsi"/>
          <w:lang w:eastAsia="en-US"/>
        </w:rPr>
        <w:t>__</w:t>
      </w:r>
      <w:r w:rsidR="00382A06" w:rsidRPr="00177E7C">
        <w:rPr>
          <w:rFonts w:asciiTheme="minorHAnsi" w:hAnsiTheme="minorHAnsi"/>
          <w:lang w:eastAsia="en-US"/>
        </w:rPr>
        <w:t>______________________</w:t>
      </w:r>
      <w:r w:rsidR="00382A06" w:rsidRPr="00177E7C">
        <w:rPr>
          <w:rFonts w:asciiTheme="minorHAnsi" w:hAnsiTheme="minorHAnsi"/>
          <w:lang w:eastAsia="en-US"/>
        </w:rPr>
        <w:tab/>
        <w:t>____</w:t>
      </w:r>
      <w:r w:rsidR="00382A06" w:rsidRPr="00177E7C">
        <w:rPr>
          <w:rFonts w:asciiTheme="minorHAnsi" w:hAnsiTheme="minorHAnsi"/>
          <w:lang w:eastAsia="en-US"/>
        </w:rPr>
        <w:tab/>
      </w:r>
      <w:r w:rsidR="00382A06" w:rsidRPr="00177E7C">
        <w:rPr>
          <w:rFonts w:asciiTheme="minorHAnsi" w:hAnsiTheme="minorHAnsi"/>
          <w:lang w:eastAsia="en-US"/>
        </w:rPr>
        <w:tab/>
      </w:r>
      <w:r w:rsidR="00382A06" w:rsidRPr="00177E7C">
        <w:rPr>
          <w:rFonts w:asciiTheme="minorHAnsi" w:hAnsiTheme="minorHAnsi"/>
          <w:lang w:eastAsia="en-US"/>
        </w:rPr>
        <w:tab/>
      </w:r>
      <w:r w:rsidR="00382A06" w:rsidRPr="00177E7C">
        <w:rPr>
          <w:rFonts w:asciiTheme="minorHAnsi" w:hAnsiTheme="minorHAnsi"/>
          <w:lang w:eastAsia="en-US"/>
        </w:rPr>
        <w:tab/>
        <w:t xml:space="preserve">           </w:t>
      </w:r>
      <w:r w:rsidR="006C52CB" w:rsidRPr="00177E7C">
        <w:rPr>
          <w:rFonts w:asciiTheme="minorHAnsi" w:hAnsiTheme="minorHAnsi"/>
          <w:lang w:eastAsia="en-US"/>
        </w:rPr>
        <w:t>__________________________</w:t>
      </w:r>
      <w:r w:rsidR="006C52CB" w:rsidRPr="00177E7C">
        <w:rPr>
          <w:rFonts w:asciiTheme="minorHAnsi" w:eastAsia="Calibri" w:hAnsiTheme="minorHAnsi"/>
        </w:rPr>
        <w:tab/>
      </w:r>
    </w:p>
    <w:p w:rsidR="006C52CB" w:rsidRPr="00177E7C" w:rsidRDefault="006C52CB" w:rsidP="006C52CB">
      <w:pPr>
        <w:spacing w:after="0" w:line="240" w:lineRule="auto"/>
      </w:pPr>
      <w:r w:rsidRPr="00177E7C">
        <w:t>Luciano Garcia Hoffmann                                                          Daiane de Oliveira Bambil</w:t>
      </w:r>
    </w:p>
    <w:p w:rsidR="006C52CB" w:rsidRPr="00177E7C" w:rsidRDefault="006C52CB" w:rsidP="006C52CB">
      <w:pPr>
        <w:spacing w:after="0" w:line="240" w:lineRule="auto"/>
        <w:contextualSpacing/>
      </w:pPr>
      <w:r w:rsidRPr="00177E7C">
        <w:t>Gestor de Recursos                                                                     Membro Comitê de Investimento</w:t>
      </w:r>
    </w:p>
    <w:p w:rsidR="006C52CB" w:rsidRPr="00177E7C" w:rsidRDefault="006C52CB" w:rsidP="006C52CB">
      <w:pPr>
        <w:spacing w:after="0" w:line="240" w:lineRule="auto"/>
        <w:contextualSpacing/>
      </w:pPr>
      <w:r w:rsidRPr="00177E7C">
        <w:t>CGRPPS-1345                                                                                CGRPPS-1579</w:t>
      </w:r>
    </w:p>
    <w:p w:rsidR="006C52CB" w:rsidRPr="00177E7C" w:rsidRDefault="006C52CB" w:rsidP="006C52CB">
      <w:pPr>
        <w:spacing w:after="0" w:line="240" w:lineRule="auto"/>
        <w:contextualSpacing/>
        <w:rPr>
          <w:sz w:val="21"/>
        </w:rPr>
      </w:pPr>
    </w:p>
    <w:p w:rsidR="006B083F" w:rsidRPr="00177E7C" w:rsidRDefault="0000318F" w:rsidP="00CD207C">
      <w:pPr>
        <w:spacing w:after="0"/>
        <w:rPr>
          <w:rFonts w:asciiTheme="minorHAnsi" w:hAnsiTheme="minorHAnsi"/>
          <w:lang w:eastAsia="en-US"/>
        </w:rPr>
      </w:pPr>
      <w:r w:rsidRPr="00177E7C">
        <w:rPr>
          <w:rFonts w:asciiTheme="minorHAnsi" w:eastAsia="Calibri" w:hAnsiTheme="minorHAnsi"/>
        </w:rPr>
        <w:tab/>
      </w:r>
      <w:r w:rsidRPr="00177E7C">
        <w:rPr>
          <w:rFonts w:asciiTheme="minorHAnsi" w:eastAsia="Calibri" w:hAnsiTheme="minorHAnsi"/>
        </w:rPr>
        <w:tab/>
      </w:r>
      <w:r w:rsidRPr="00177E7C">
        <w:rPr>
          <w:rFonts w:asciiTheme="minorHAnsi" w:eastAsia="Calibri" w:hAnsiTheme="minorHAnsi"/>
        </w:rPr>
        <w:tab/>
      </w:r>
      <w:r w:rsidRPr="00177E7C">
        <w:rPr>
          <w:rFonts w:asciiTheme="minorHAnsi" w:eastAsia="Calibri" w:hAnsiTheme="minorHAnsi"/>
        </w:rPr>
        <w:tab/>
      </w:r>
      <w:r w:rsidRPr="00177E7C">
        <w:rPr>
          <w:rFonts w:asciiTheme="minorHAnsi" w:eastAsia="Calibri" w:hAnsiTheme="minorHAnsi"/>
        </w:rPr>
        <w:tab/>
      </w:r>
    </w:p>
    <w:p w:rsidR="001E3220" w:rsidRPr="00177E7C" w:rsidRDefault="001E3220" w:rsidP="00CD207C">
      <w:pPr>
        <w:spacing w:after="0"/>
        <w:rPr>
          <w:rFonts w:asciiTheme="minorHAnsi" w:hAnsiTheme="minorHAnsi"/>
          <w:lang w:eastAsia="en-US"/>
        </w:rPr>
      </w:pPr>
    </w:p>
    <w:p w:rsidR="000A50EC" w:rsidRPr="00177E7C" w:rsidRDefault="000A50EC" w:rsidP="00CD207C">
      <w:pPr>
        <w:spacing w:after="0"/>
        <w:rPr>
          <w:rFonts w:asciiTheme="minorHAnsi" w:hAnsiTheme="minorHAnsi"/>
          <w:lang w:eastAsia="en-US"/>
        </w:rPr>
      </w:pPr>
    </w:p>
    <w:p w:rsidR="000A50EC" w:rsidRPr="00177E7C" w:rsidRDefault="000A50EC" w:rsidP="00CD207C">
      <w:pPr>
        <w:spacing w:after="0"/>
        <w:rPr>
          <w:rFonts w:asciiTheme="minorHAnsi" w:hAnsiTheme="minorHAnsi"/>
          <w:lang w:eastAsia="en-US"/>
        </w:rPr>
      </w:pPr>
    </w:p>
    <w:p w:rsidR="009010D6" w:rsidRPr="00CD207C" w:rsidRDefault="009010D6" w:rsidP="00CD207C">
      <w:pPr>
        <w:spacing w:after="0"/>
        <w:rPr>
          <w:rFonts w:asciiTheme="minorHAnsi" w:hAnsiTheme="minorHAnsi"/>
          <w:lang w:eastAsia="en-US"/>
        </w:rPr>
      </w:pPr>
    </w:p>
    <w:sectPr w:rsidR="009010D6" w:rsidRPr="00CD207C" w:rsidSect="00077265">
      <w:headerReference w:type="default" r:id="rId15"/>
      <w:footerReference w:type="default" r:id="rId16"/>
      <w:headerReference w:type="first" r:id="rId17"/>
      <w:pgSz w:w="11900" w:h="16840"/>
      <w:pgMar w:top="1276" w:right="985" w:bottom="1304" w:left="851" w:header="709" w:footer="9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C7D" w:rsidRDefault="00D02C7D" w:rsidP="00A5561D">
      <w:pPr>
        <w:spacing w:after="0" w:line="240" w:lineRule="auto"/>
      </w:pPr>
      <w:r>
        <w:separator/>
      </w:r>
    </w:p>
  </w:endnote>
  <w:endnote w:type="continuationSeparator" w:id="0">
    <w:p w:rsidR="00D02C7D" w:rsidRDefault="00D02C7D" w:rsidP="00A5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roman"/>
    <w:pitch w:val="variable"/>
  </w:font>
  <w:font w:name="Times">
    <w:altName w:val="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DejaVu San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8CE" w:rsidRPr="00442402" w:rsidRDefault="00B028CE" w:rsidP="008554B2">
    <w:pPr>
      <w:pStyle w:val="Rodap"/>
      <w:framePr w:wrap="around" w:vAnchor="text" w:hAnchor="margin" w:xAlign="right" w:y="1"/>
      <w:rPr>
        <w:rStyle w:val="Nmerodepgina"/>
        <w:u w:val="single"/>
      </w:rPr>
    </w:pPr>
    <w:r w:rsidRPr="00442402">
      <w:rPr>
        <w:rStyle w:val="Nmerodepgina"/>
        <w:u w:val="single"/>
      </w:rPr>
      <w:fldChar w:fldCharType="begin"/>
    </w:r>
    <w:r w:rsidRPr="00442402">
      <w:rPr>
        <w:rStyle w:val="Nmerodepgina"/>
        <w:u w:val="single"/>
      </w:rPr>
      <w:instrText xml:space="preserve">PAGE  </w:instrText>
    </w:r>
    <w:r w:rsidRPr="00442402">
      <w:rPr>
        <w:rStyle w:val="Nmerodepgina"/>
        <w:u w:val="single"/>
      </w:rPr>
      <w:fldChar w:fldCharType="separate"/>
    </w:r>
    <w:r w:rsidR="00AD7C16">
      <w:rPr>
        <w:rStyle w:val="Nmerodepgina"/>
        <w:noProof/>
        <w:u w:val="single"/>
      </w:rPr>
      <w:t>36</w:t>
    </w:r>
    <w:r w:rsidRPr="00442402">
      <w:rPr>
        <w:rStyle w:val="Nmerodepgina"/>
        <w:u w:val="single"/>
      </w:rPr>
      <w:fldChar w:fldCharType="end"/>
    </w:r>
  </w:p>
  <w:p w:rsidR="00B028CE" w:rsidRPr="000261EC" w:rsidRDefault="00B028CE" w:rsidP="001B3714">
    <w:pPr>
      <w:pStyle w:val="Rodap"/>
      <w:tabs>
        <w:tab w:val="clear" w:pos="8640"/>
        <w:tab w:val="center" w:pos="4678"/>
        <w:tab w:val="right" w:pos="8789"/>
      </w:tabs>
      <w:ind w:left="-851" w:right="360" w:firstLine="567"/>
      <w:rPr>
        <w:sz w:val="28"/>
        <w:szCs w:val="28"/>
      </w:rPr>
    </w:pPr>
    <w:r>
      <w:t xml:space="preserve"> </w:t>
    </w:r>
  </w:p>
  <w:p w:rsidR="00B028CE" w:rsidRDefault="00B028CE" w:rsidP="001B3714">
    <w:pPr>
      <w:pStyle w:val="Rodap"/>
      <w:tabs>
        <w:tab w:val="clear" w:pos="8640"/>
        <w:tab w:val="left" w:pos="4320"/>
      </w:tabs>
      <w:ind w:left="-851" w:right="7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C7D" w:rsidRDefault="00D02C7D" w:rsidP="00A5561D">
      <w:pPr>
        <w:spacing w:after="0" w:line="240" w:lineRule="auto"/>
      </w:pPr>
      <w:r>
        <w:separator/>
      </w:r>
    </w:p>
  </w:footnote>
  <w:footnote w:type="continuationSeparator" w:id="0">
    <w:p w:rsidR="00D02C7D" w:rsidRDefault="00D02C7D" w:rsidP="00A556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8CE" w:rsidRDefault="00B028CE" w:rsidP="00290E7F">
    <w:pPr>
      <w:pStyle w:val="Cabealho"/>
      <w:tabs>
        <w:tab w:val="clear" w:pos="8640"/>
        <w:tab w:val="right" w:pos="10348"/>
      </w:tabs>
      <w:rPr>
        <w:smallCaps/>
      </w:rPr>
    </w:pPr>
    <w:r>
      <w:rPr>
        <w:smallCaps/>
      </w:rPr>
      <w:t>Política de Investimentos – RPPS – São Nicolau -RS</w:t>
    </w:r>
  </w:p>
  <w:p w:rsidR="00B028CE" w:rsidRPr="00290E7F" w:rsidRDefault="00B028CE" w:rsidP="00290E7F">
    <w:pPr>
      <w:pStyle w:val="Cabealho"/>
      <w:tabs>
        <w:tab w:val="clear" w:pos="8640"/>
        <w:tab w:val="right" w:pos="10348"/>
      </w:tabs>
      <w:rPr>
        <w:smallCaps/>
      </w:rPr>
    </w:pPr>
    <w:r>
      <w:rPr>
        <w:smallCaps/>
        <w:noProof/>
      </w:rPr>
      <mc:AlternateContent>
        <mc:Choice Requires="wps">
          <w:drawing>
            <wp:anchor distT="4294967293" distB="4294967293" distL="114300" distR="114300" simplePos="0" relativeHeight="251659264" behindDoc="0" locked="0" layoutInCell="1" allowOverlap="1">
              <wp:simplePos x="0" y="0"/>
              <wp:positionH relativeFrom="column">
                <wp:posOffset>-455295</wp:posOffset>
              </wp:positionH>
              <wp:positionV relativeFrom="paragraph">
                <wp:posOffset>59689</wp:posOffset>
              </wp:positionV>
              <wp:extent cx="7429500" cy="0"/>
              <wp:effectExtent l="0" t="0" r="0" b="0"/>
              <wp:wrapNone/>
              <wp:docPr id="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29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2B8A9F" id="Straight Connector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5.85pt,4.7pt" to="549.1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" strokecolor="#4579b8 [3044]">
              <o:lock v:ext="edit" shapetype="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8CE" w:rsidRDefault="00B028CE" w:rsidP="00077265">
    <w:pPr>
      <w:pStyle w:val="Cabealho"/>
      <w:ind w:left="-851"/>
      <w:jc w:val="right"/>
    </w:pPr>
    <w:r>
      <w:rPr>
        <w:noProof/>
      </w:rPr>
      <w:drawing>
        <wp:inline distT="0" distB="0" distL="0" distR="0">
          <wp:extent cx="2178685" cy="550085"/>
          <wp:effectExtent l="0" t="0" r="5715" b="8890"/>
          <wp:docPr id="17" name="Picture 17" descr="Macintosh HD:Users:priscilabenazzihoffmann:Desktop:Docs Premier:LogoPremie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riscilabenazzihoffmann:Desktop:Docs Premier:LogoPremierA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8685" cy="55008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6AD3E3B"/>
    <w:multiLevelType w:val="hybridMultilevel"/>
    <w:tmpl w:val="2C2AA26C"/>
    <w:lvl w:ilvl="0" w:tplc="A21C7D46">
      <w:start w:val="1"/>
      <w:numFmt w:val="decimal"/>
      <w:lvlText w:val="%1."/>
      <w:lvlJc w:val="left"/>
      <w:pPr>
        <w:tabs>
          <w:tab w:val="num" w:pos="720"/>
        </w:tabs>
        <w:ind w:left="720" w:hanging="360"/>
      </w:pPr>
    </w:lvl>
    <w:lvl w:ilvl="1" w:tplc="4E883BDE" w:tentative="1">
      <w:start w:val="1"/>
      <w:numFmt w:val="decimal"/>
      <w:lvlText w:val="%2."/>
      <w:lvlJc w:val="left"/>
      <w:pPr>
        <w:tabs>
          <w:tab w:val="num" w:pos="1440"/>
        </w:tabs>
        <w:ind w:left="1440" w:hanging="360"/>
      </w:pPr>
    </w:lvl>
    <w:lvl w:ilvl="2" w:tplc="04FECEDA" w:tentative="1">
      <w:start w:val="1"/>
      <w:numFmt w:val="decimal"/>
      <w:lvlText w:val="%3."/>
      <w:lvlJc w:val="left"/>
      <w:pPr>
        <w:tabs>
          <w:tab w:val="num" w:pos="2160"/>
        </w:tabs>
        <w:ind w:left="2160" w:hanging="360"/>
      </w:pPr>
    </w:lvl>
    <w:lvl w:ilvl="3" w:tplc="15C6A202" w:tentative="1">
      <w:start w:val="1"/>
      <w:numFmt w:val="decimal"/>
      <w:lvlText w:val="%4."/>
      <w:lvlJc w:val="left"/>
      <w:pPr>
        <w:tabs>
          <w:tab w:val="num" w:pos="2880"/>
        </w:tabs>
        <w:ind w:left="2880" w:hanging="360"/>
      </w:pPr>
    </w:lvl>
    <w:lvl w:ilvl="4" w:tplc="A35CAFB6" w:tentative="1">
      <w:start w:val="1"/>
      <w:numFmt w:val="decimal"/>
      <w:lvlText w:val="%5."/>
      <w:lvlJc w:val="left"/>
      <w:pPr>
        <w:tabs>
          <w:tab w:val="num" w:pos="3600"/>
        </w:tabs>
        <w:ind w:left="3600" w:hanging="360"/>
      </w:pPr>
    </w:lvl>
    <w:lvl w:ilvl="5" w:tplc="508091BE" w:tentative="1">
      <w:start w:val="1"/>
      <w:numFmt w:val="decimal"/>
      <w:lvlText w:val="%6."/>
      <w:lvlJc w:val="left"/>
      <w:pPr>
        <w:tabs>
          <w:tab w:val="num" w:pos="4320"/>
        </w:tabs>
        <w:ind w:left="4320" w:hanging="360"/>
      </w:pPr>
    </w:lvl>
    <w:lvl w:ilvl="6" w:tplc="D24A130A" w:tentative="1">
      <w:start w:val="1"/>
      <w:numFmt w:val="decimal"/>
      <w:lvlText w:val="%7."/>
      <w:lvlJc w:val="left"/>
      <w:pPr>
        <w:tabs>
          <w:tab w:val="num" w:pos="5040"/>
        </w:tabs>
        <w:ind w:left="5040" w:hanging="360"/>
      </w:pPr>
    </w:lvl>
    <w:lvl w:ilvl="7" w:tplc="E13C59C8" w:tentative="1">
      <w:start w:val="1"/>
      <w:numFmt w:val="decimal"/>
      <w:lvlText w:val="%8."/>
      <w:lvlJc w:val="left"/>
      <w:pPr>
        <w:tabs>
          <w:tab w:val="num" w:pos="5760"/>
        </w:tabs>
        <w:ind w:left="5760" w:hanging="360"/>
      </w:pPr>
    </w:lvl>
    <w:lvl w:ilvl="8" w:tplc="E1D8A89E" w:tentative="1">
      <w:start w:val="1"/>
      <w:numFmt w:val="decimal"/>
      <w:lvlText w:val="%9."/>
      <w:lvlJc w:val="left"/>
      <w:pPr>
        <w:tabs>
          <w:tab w:val="num" w:pos="6480"/>
        </w:tabs>
        <w:ind w:left="6480" w:hanging="360"/>
      </w:pPr>
    </w:lvl>
  </w:abstractNum>
  <w:abstractNum w:abstractNumId="3">
    <w:nsid w:val="09A64EEA"/>
    <w:multiLevelType w:val="hybridMultilevel"/>
    <w:tmpl w:val="1C288394"/>
    <w:lvl w:ilvl="0" w:tplc="537644F4">
      <w:start w:val="1"/>
      <w:numFmt w:val="upperRoman"/>
      <w:lvlText w:val="%1."/>
      <w:lvlJc w:val="right"/>
      <w:pPr>
        <w:ind w:left="720" w:hanging="360"/>
      </w:pPr>
      <w:rPr>
        <w:rFonts w:asciiTheme="majorHAnsi" w:hAnsiTheme="maj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3B63A0"/>
    <w:multiLevelType w:val="hybridMultilevel"/>
    <w:tmpl w:val="9C169C6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9D04E4"/>
    <w:multiLevelType w:val="hybridMultilevel"/>
    <w:tmpl w:val="80A0D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D022FF"/>
    <w:multiLevelType w:val="hybridMultilevel"/>
    <w:tmpl w:val="90A21BEC"/>
    <w:lvl w:ilvl="0" w:tplc="04090013">
      <w:start w:val="1"/>
      <w:numFmt w:val="upp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DEF1738"/>
    <w:multiLevelType w:val="hybridMultilevel"/>
    <w:tmpl w:val="CCD20D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D063D3"/>
    <w:multiLevelType w:val="hybridMultilevel"/>
    <w:tmpl w:val="A2760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0671F0"/>
    <w:multiLevelType w:val="hybridMultilevel"/>
    <w:tmpl w:val="83F84AB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2C71188E"/>
    <w:multiLevelType w:val="hybridMultilevel"/>
    <w:tmpl w:val="55424A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183ADD"/>
    <w:multiLevelType w:val="multilevel"/>
    <w:tmpl w:val="F80ECCA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3C105FE1"/>
    <w:multiLevelType w:val="hybridMultilevel"/>
    <w:tmpl w:val="F6049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B96E80"/>
    <w:multiLevelType w:val="hybridMultilevel"/>
    <w:tmpl w:val="E5D83478"/>
    <w:lvl w:ilvl="0" w:tplc="04090011">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485E5A"/>
    <w:multiLevelType w:val="hybridMultilevel"/>
    <w:tmpl w:val="C0AE4A3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CB7831"/>
    <w:multiLevelType w:val="hybridMultilevel"/>
    <w:tmpl w:val="980454B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891905"/>
    <w:multiLevelType w:val="hybridMultilevel"/>
    <w:tmpl w:val="1518BCF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A862D9"/>
    <w:multiLevelType w:val="hybridMultilevel"/>
    <w:tmpl w:val="C62E832A"/>
    <w:lvl w:ilvl="0" w:tplc="6212C710">
      <w:start w:val="1"/>
      <w:numFmt w:val="bullet"/>
      <w:lvlText w:val="•"/>
      <w:lvlJc w:val="left"/>
      <w:pPr>
        <w:tabs>
          <w:tab w:val="num" w:pos="720"/>
        </w:tabs>
        <w:ind w:left="720" w:hanging="360"/>
      </w:pPr>
      <w:rPr>
        <w:rFonts w:ascii="Arial" w:hAnsi="Arial" w:hint="default"/>
      </w:rPr>
    </w:lvl>
    <w:lvl w:ilvl="1" w:tplc="68029314" w:tentative="1">
      <w:start w:val="1"/>
      <w:numFmt w:val="bullet"/>
      <w:lvlText w:val="•"/>
      <w:lvlJc w:val="left"/>
      <w:pPr>
        <w:tabs>
          <w:tab w:val="num" w:pos="1440"/>
        </w:tabs>
        <w:ind w:left="1440" w:hanging="360"/>
      </w:pPr>
      <w:rPr>
        <w:rFonts w:ascii="Arial" w:hAnsi="Arial" w:hint="default"/>
      </w:rPr>
    </w:lvl>
    <w:lvl w:ilvl="2" w:tplc="D71E45E0" w:tentative="1">
      <w:start w:val="1"/>
      <w:numFmt w:val="bullet"/>
      <w:lvlText w:val="•"/>
      <w:lvlJc w:val="left"/>
      <w:pPr>
        <w:tabs>
          <w:tab w:val="num" w:pos="2160"/>
        </w:tabs>
        <w:ind w:left="2160" w:hanging="360"/>
      </w:pPr>
      <w:rPr>
        <w:rFonts w:ascii="Arial" w:hAnsi="Arial" w:hint="default"/>
      </w:rPr>
    </w:lvl>
    <w:lvl w:ilvl="3" w:tplc="F36E5450" w:tentative="1">
      <w:start w:val="1"/>
      <w:numFmt w:val="bullet"/>
      <w:lvlText w:val="•"/>
      <w:lvlJc w:val="left"/>
      <w:pPr>
        <w:tabs>
          <w:tab w:val="num" w:pos="2880"/>
        </w:tabs>
        <w:ind w:left="2880" w:hanging="360"/>
      </w:pPr>
      <w:rPr>
        <w:rFonts w:ascii="Arial" w:hAnsi="Arial" w:hint="default"/>
      </w:rPr>
    </w:lvl>
    <w:lvl w:ilvl="4" w:tplc="D4069094" w:tentative="1">
      <w:start w:val="1"/>
      <w:numFmt w:val="bullet"/>
      <w:lvlText w:val="•"/>
      <w:lvlJc w:val="left"/>
      <w:pPr>
        <w:tabs>
          <w:tab w:val="num" w:pos="3600"/>
        </w:tabs>
        <w:ind w:left="3600" w:hanging="360"/>
      </w:pPr>
      <w:rPr>
        <w:rFonts w:ascii="Arial" w:hAnsi="Arial" w:hint="default"/>
      </w:rPr>
    </w:lvl>
    <w:lvl w:ilvl="5" w:tplc="1486BD54" w:tentative="1">
      <w:start w:val="1"/>
      <w:numFmt w:val="bullet"/>
      <w:lvlText w:val="•"/>
      <w:lvlJc w:val="left"/>
      <w:pPr>
        <w:tabs>
          <w:tab w:val="num" w:pos="4320"/>
        </w:tabs>
        <w:ind w:left="4320" w:hanging="360"/>
      </w:pPr>
      <w:rPr>
        <w:rFonts w:ascii="Arial" w:hAnsi="Arial" w:hint="default"/>
      </w:rPr>
    </w:lvl>
    <w:lvl w:ilvl="6" w:tplc="D9786778" w:tentative="1">
      <w:start w:val="1"/>
      <w:numFmt w:val="bullet"/>
      <w:lvlText w:val="•"/>
      <w:lvlJc w:val="left"/>
      <w:pPr>
        <w:tabs>
          <w:tab w:val="num" w:pos="5040"/>
        </w:tabs>
        <w:ind w:left="5040" w:hanging="360"/>
      </w:pPr>
      <w:rPr>
        <w:rFonts w:ascii="Arial" w:hAnsi="Arial" w:hint="default"/>
      </w:rPr>
    </w:lvl>
    <w:lvl w:ilvl="7" w:tplc="E89E81EA" w:tentative="1">
      <w:start w:val="1"/>
      <w:numFmt w:val="bullet"/>
      <w:lvlText w:val="•"/>
      <w:lvlJc w:val="left"/>
      <w:pPr>
        <w:tabs>
          <w:tab w:val="num" w:pos="5760"/>
        </w:tabs>
        <w:ind w:left="5760" w:hanging="360"/>
      </w:pPr>
      <w:rPr>
        <w:rFonts w:ascii="Arial" w:hAnsi="Arial" w:hint="default"/>
      </w:rPr>
    </w:lvl>
    <w:lvl w:ilvl="8" w:tplc="9310769E" w:tentative="1">
      <w:start w:val="1"/>
      <w:numFmt w:val="bullet"/>
      <w:lvlText w:val="•"/>
      <w:lvlJc w:val="left"/>
      <w:pPr>
        <w:tabs>
          <w:tab w:val="num" w:pos="6480"/>
        </w:tabs>
        <w:ind w:left="6480" w:hanging="360"/>
      </w:pPr>
      <w:rPr>
        <w:rFonts w:ascii="Arial" w:hAnsi="Arial" w:hint="default"/>
      </w:rPr>
    </w:lvl>
  </w:abstractNum>
  <w:abstractNum w:abstractNumId="18">
    <w:nsid w:val="4C0C375E"/>
    <w:multiLevelType w:val="hybridMultilevel"/>
    <w:tmpl w:val="45E6E1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F82E49"/>
    <w:multiLevelType w:val="hybridMultilevel"/>
    <w:tmpl w:val="4178F9D6"/>
    <w:lvl w:ilvl="0" w:tplc="8974CCC8">
      <w:start w:val="1"/>
      <w:numFmt w:val="bullet"/>
      <w:pStyle w:val="PargrafodaLista"/>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32D2CC2"/>
    <w:multiLevelType w:val="hybridMultilevel"/>
    <w:tmpl w:val="4960403E"/>
    <w:lvl w:ilvl="0" w:tplc="8974CC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BC55E39"/>
    <w:multiLevelType w:val="hybridMultilevel"/>
    <w:tmpl w:val="660AF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7D2978"/>
    <w:multiLevelType w:val="hybridMultilevel"/>
    <w:tmpl w:val="4058F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513846"/>
    <w:multiLevelType w:val="hybridMultilevel"/>
    <w:tmpl w:val="45E6E1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FD6232"/>
    <w:multiLevelType w:val="hybridMultilevel"/>
    <w:tmpl w:val="14DA69CC"/>
    <w:lvl w:ilvl="0" w:tplc="B2F28C18">
      <w:start w:val="1"/>
      <w:numFmt w:val="lowerLetter"/>
      <w:lvlText w:val="(%1)"/>
      <w:lvlJc w:val="left"/>
      <w:pPr>
        <w:ind w:left="760" w:hanging="400"/>
      </w:pPr>
      <w:rPr>
        <w:rFonts w:asciiTheme="majorHAnsi" w:hAnsiTheme="maj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5436FE"/>
    <w:multiLevelType w:val="hybridMultilevel"/>
    <w:tmpl w:val="C8F4B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9406F2"/>
    <w:multiLevelType w:val="hybridMultilevel"/>
    <w:tmpl w:val="3990BA26"/>
    <w:lvl w:ilvl="0" w:tplc="D8C2391E">
      <w:start w:val="1"/>
      <w:numFmt w:val="decimal"/>
      <w:lvlText w:val="%1."/>
      <w:lvlJc w:val="left"/>
      <w:pPr>
        <w:tabs>
          <w:tab w:val="num" w:pos="720"/>
        </w:tabs>
        <w:ind w:left="720" w:hanging="360"/>
      </w:pPr>
    </w:lvl>
    <w:lvl w:ilvl="1" w:tplc="AA983E20" w:tentative="1">
      <w:start w:val="1"/>
      <w:numFmt w:val="decimal"/>
      <w:lvlText w:val="%2."/>
      <w:lvlJc w:val="left"/>
      <w:pPr>
        <w:tabs>
          <w:tab w:val="num" w:pos="1440"/>
        </w:tabs>
        <w:ind w:left="1440" w:hanging="360"/>
      </w:pPr>
    </w:lvl>
    <w:lvl w:ilvl="2" w:tplc="E6283472" w:tentative="1">
      <w:start w:val="1"/>
      <w:numFmt w:val="decimal"/>
      <w:lvlText w:val="%3."/>
      <w:lvlJc w:val="left"/>
      <w:pPr>
        <w:tabs>
          <w:tab w:val="num" w:pos="2160"/>
        </w:tabs>
        <w:ind w:left="2160" w:hanging="360"/>
      </w:pPr>
    </w:lvl>
    <w:lvl w:ilvl="3" w:tplc="65000C4E" w:tentative="1">
      <w:start w:val="1"/>
      <w:numFmt w:val="decimal"/>
      <w:lvlText w:val="%4."/>
      <w:lvlJc w:val="left"/>
      <w:pPr>
        <w:tabs>
          <w:tab w:val="num" w:pos="2880"/>
        </w:tabs>
        <w:ind w:left="2880" w:hanging="360"/>
      </w:pPr>
    </w:lvl>
    <w:lvl w:ilvl="4" w:tplc="4B08C338" w:tentative="1">
      <w:start w:val="1"/>
      <w:numFmt w:val="decimal"/>
      <w:lvlText w:val="%5."/>
      <w:lvlJc w:val="left"/>
      <w:pPr>
        <w:tabs>
          <w:tab w:val="num" w:pos="3600"/>
        </w:tabs>
        <w:ind w:left="3600" w:hanging="360"/>
      </w:pPr>
    </w:lvl>
    <w:lvl w:ilvl="5" w:tplc="F078AD8A" w:tentative="1">
      <w:start w:val="1"/>
      <w:numFmt w:val="decimal"/>
      <w:lvlText w:val="%6."/>
      <w:lvlJc w:val="left"/>
      <w:pPr>
        <w:tabs>
          <w:tab w:val="num" w:pos="4320"/>
        </w:tabs>
        <w:ind w:left="4320" w:hanging="360"/>
      </w:pPr>
    </w:lvl>
    <w:lvl w:ilvl="6" w:tplc="06067B42" w:tentative="1">
      <w:start w:val="1"/>
      <w:numFmt w:val="decimal"/>
      <w:lvlText w:val="%7."/>
      <w:lvlJc w:val="left"/>
      <w:pPr>
        <w:tabs>
          <w:tab w:val="num" w:pos="5040"/>
        </w:tabs>
        <w:ind w:left="5040" w:hanging="360"/>
      </w:pPr>
    </w:lvl>
    <w:lvl w:ilvl="7" w:tplc="0F1886B8" w:tentative="1">
      <w:start w:val="1"/>
      <w:numFmt w:val="decimal"/>
      <w:lvlText w:val="%8."/>
      <w:lvlJc w:val="left"/>
      <w:pPr>
        <w:tabs>
          <w:tab w:val="num" w:pos="5760"/>
        </w:tabs>
        <w:ind w:left="5760" w:hanging="360"/>
      </w:pPr>
    </w:lvl>
    <w:lvl w:ilvl="8" w:tplc="C62CF7C2" w:tentative="1">
      <w:start w:val="1"/>
      <w:numFmt w:val="decimal"/>
      <w:lvlText w:val="%9."/>
      <w:lvlJc w:val="left"/>
      <w:pPr>
        <w:tabs>
          <w:tab w:val="num" w:pos="6480"/>
        </w:tabs>
        <w:ind w:left="6480" w:hanging="360"/>
      </w:pPr>
    </w:lvl>
  </w:abstractNum>
  <w:abstractNum w:abstractNumId="27">
    <w:nsid w:val="76CD63E6"/>
    <w:multiLevelType w:val="hybridMultilevel"/>
    <w:tmpl w:val="9B9C4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455212"/>
    <w:multiLevelType w:val="multilevel"/>
    <w:tmpl w:val="7D269F9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EE32A4D"/>
    <w:multiLevelType w:val="hybridMultilevel"/>
    <w:tmpl w:val="F44E0350"/>
    <w:lvl w:ilvl="0" w:tplc="04090013">
      <w:start w:val="1"/>
      <w:numFmt w:val="upperRoman"/>
      <w:lvlText w:val="%1."/>
      <w:lvlJc w:val="righ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B75C78"/>
    <w:multiLevelType w:val="hybridMultilevel"/>
    <w:tmpl w:val="4F18CB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7"/>
  </w:num>
  <w:num w:numId="3">
    <w:abstractNumId w:val="22"/>
  </w:num>
  <w:num w:numId="4">
    <w:abstractNumId w:val="19"/>
  </w:num>
  <w:num w:numId="5">
    <w:abstractNumId w:val="5"/>
  </w:num>
  <w:num w:numId="6">
    <w:abstractNumId w:val="21"/>
  </w:num>
  <w:num w:numId="7">
    <w:abstractNumId w:val="20"/>
  </w:num>
  <w:num w:numId="8">
    <w:abstractNumId w:val="17"/>
  </w:num>
  <w:num w:numId="9">
    <w:abstractNumId w:val="0"/>
  </w:num>
  <w:num w:numId="10">
    <w:abstractNumId w:val="26"/>
  </w:num>
  <w:num w:numId="11">
    <w:abstractNumId w:val="2"/>
  </w:num>
  <w:num w:numId="12">
    <w:abstractNumId w:val="28"/>
  </w:num>
  <w:num w:numId="13">
    <w:abstractNumId w:val="9"/>
  </w:num>
  <w:num w:numId="14">
    <w:abstractNumId w:val="15"/>
  </w:num>
  <w:num w:numId="15">
    <w:abstractNumId w:val="23"/>
  </w:num>
  <w:num w:numId="16">
    <w:abstractNumId w:val="7"/>
  </w:num>
  <w:num w:numId="17">
    <w:abstractNumId w:val="24"/>
  </w:num>
  <w:num w:numId="18">
    <w:abstractNumId w:val="10"/>
  </w:num>
  <w:num w:numId="19">
    <w:abstractNumId w:val="6"/>
  </w:num>
  <w:num w:numId="20">
    <w:abstractNumId w:val="12"/>
  </w:num>
  <w:num w:numId="21">
    <w:abstractNumId w:val="29"/>
  </w:num>
  <w:num w:numId="22">
    <w:abstractNumId w:val="13"/>
  </w:num>
  <w:num w:numId="23">
    <w:abstractNumId w:val="16"/>
  </w:num>
  <w:num w:numId="24">
    <w:abstractNumId w:val="14"/>
  </w:num>
  <w:num w:numId="25">
    <w:abstractNumId w:val="3"/>
  </w:num>
  <w:num w:numId="26">
    <w:abstractNumId w:val="1"/>
  </w:num>
  <w:num w:numId="27">
    <w:abstractNumId w:val="30"/>
  </w:num>
  <w:num w:numId="28">
    <w:abstractNumId w:val="4"/>
  </w:num>
  <w:num w:numId="29">
    <w:abstractNumId w:val="25"/>
  </w:num>
  <w:num w:numId="30">
    <w:abstractNumId w:val="18"/>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61D"/>
    <w:rsid w:val="0000318F"/>
    <w:rsid w:val="0001040C"/>
    <w:rsid w:val="00011847"/>
    <w:rsid w:val="00011FB3"/>
    <w:rsid w:val="00013D7A"/>
    <w:rsid w:val="000201F4"/>
    <w:rsid w:val="000261EC"/>
    <w:rsid w:val="00027921"/>
    <w:rsid w:val="00033016"/>
    <w:rsid w:val="00034509"/>
    <w:rsid w:val="00041E39"/>
    <w:rsid w:val="00042563"/>
    <w:rsid w:val="00045C59"/>
    <w:rsid w:val="00050112"/>
    <w:rsid w:val="00052F08"/>
    <w:rsid w:val="000608C4"/>
    <w:rsid w:val="000705E6"/>
    <w:rsid w:val="00071E47"/>
    <w:rsid w:val="00074CFA"/>
    <w:rsid w:val="00074F0B"/>
    <w:rsid w:val="00075B8E"/>
    <w:rsid w:val="00077265"/>
    <w:rsid w:val="00077322"/>
    <w:rsid w:val="00082E51"/>
    <w:rsid w:val="000839B3"/>
    <w:rsid w:val="00085B35"/>
    <w:rsid w:val="00090C73"/>
    <w:rsid w:val="000940DE"/>
    <w:rsid w:val="000964D8"/>
    <w:rsid w:val="000966F2"/>
    <w:rsid w:val="000971F8"/>
    <w:rsid w:val="000A0D22"/>
    <w:rsid w:val="000A0E9A"/>
    <w:rsid w:val="000A123C"/>
    <w:rsid w:val="000A2880"/>
    <w:rsid w:val="000A50EC"/>
    <w:rsid w:val="000A7E6E"/>
    <w:rsid w:val="000B1295"/>
    <w:rsid w:val="000B483C"/>
    <w:rsid w:val="000B5AED"/>
    <w:rsid w:val="000C0551"/>
    <w:rsid w:val="000C0E6E"/>
    <w:rsid w:val="000C4554"/>
    <w:rsid w:val="000C4E42"/>
    <w:rsid w:val="000D5655"/>
    <w:rsid w:val="000D70F7"/>
    <w:rsid w:val="000F055A"/>
    <w:rsid w:val="000F1880"/>
    <w:rsid w:val="000F4CD8"/>
    <w:rsid w:val="000F4DF8"/>
    <w:rsid w:val="000F5251"/>
    <w:rsid w:val="000F624B"/>
    <w:rsid w:val="000F7984"/>
    <w:rsid w:val="0010228E"/>
    <w:rsid w:val="00102993"/>
    <w:rsid w:val="00105F51"/>
    <w:rsid w:val="00110FBF"/>
    <w:rsid w:val="00114ABB"/>
    <w:rsid w:val="001156D1"/>
    <w:rsid w:val="001176A8"/>
    <w:rsid w:val="00121528"/>
    <w:rsid w:val="00122C25"/>
    <w:rsid w:val="00125550"/>
    <w:rsid w:val="0012593C"/>
    <w:rsid w:val="0012677E"/>
    <w:rsid w:val="00126945"/>
    <w:rsid w:val="00130485"/>
    <w:rsid w:val="00132249"/>
    <w:rsid w:val="00132458"/>
    <w:rsid w:val="001343FA"/>
    <w:rsid w:val="001365B3"/>
    <w:rsid w:val="00140280"/>
    <w:rsid w:val="0014270C"/>
    <w:rsid w:val="00142A1E"/>
    <w:rsid w:val="001470AB"/>
    <w:rsid w:val="00150BEA"/>
    <w:rsid w:val="00154B15"/>
    <w:rsid w:val="001621E9"/>
    <w:rsid w:val="0017118B"/>
    <w:rsid w:val="00174071"/>
    <w:rsid w:val="001757E3"/>
    <w:rsid w:val="00175CD6"/>
    <w:rsid w:val="00177E7C"/>
    <w:rsid w:val="00186D94"/>
    <w:rsid w:val="001914D6"/>
    <w:rsid w:val="00191AFE"/>
    <w:rsid w:val="001921CD"/>
    <w:rsid w:val="00194F32"/>
    <w:rsid w:val="00195399"/>
    <w:rsid w:val="0019601D"/>
    <w:rsid w:val="0019650F"/>
    <w:rsid w:val="001966D1"/>
    <w:rsid w:val="00197A86"/>
    <w:rsid w:val="001A149D"/>
    <w:rsid w:val="001A2171"/>
    <w:rsid w:val="001A3041"/>
    <w:rsid w:val="001A7839"/>
    <w:rsid w:val="001B132A"/>
    <w:rsid w:val="001B3714"/>
    <w:rsid w:val="001B7D2E"/>
    <w:rsid w:val="001C0E32"/>
    <w:rsid w:val="001C0EF6"/>
    <w:rsid w:val="001C2DD9"/>
    <w:rsid w:val="001C57A4"/>
    <w:rsid w:val="001D1733"/>
    <w:rsid w:val="001D4DAB"/>
    <w:rsid w:val="001D5543"/>
    <w:rsid w:val="001E08B9"/>
    <w:rsid w:val="001E0F32"/>
    <w:rsid w:val="001E3220"/>
    <w:rsid w:val="001E723F"/>
    <w:rsid w:val="001F2141"/>
    <w:rsid w:val="001F2AC1"/>
    <w:rsid w:val="00200239"/>
    <w:rsid w:val="00200690"/>
    <w:rsid w:val="00207562"/>
    <w:rsid w:val="002105E4"/>
    <w:rsid w:val="00212454"/>
    <w:rsid w:val="0021354B"/>
    <w:rsid w:val="002145F6"/>
    <w:rsid w:val="00216947"/>
    <w:rsid w:val="00225F79"/>
    <w:rsid w:val="0022720E"/>
    <w:rsid w:val="002515D6"/>
    <w:rsid w:val="00252F88"/>
    <w:rsid w:val="00254CC7"/>
    <w:rsid w:val="0025572D"/>
    <w:rsid w:val="002602F4"/>
    <w:rsid w:val="00262AC4"/>
    <w:rsid w:val="00264A1C"/>
    <w:rsid w:val="00271963"/>
    <w:rsid w:val="00271B76"/>
    <w:rsid w:val="002724D5"/>
    <w:rsid w:val="00273066"/>
    <w:rsid w:val="00286A6C"/>
    <w:rsid w:val="00287F48"/>
    <w:rsid w:val="00290D34"/>
    <w:rsid w:val="00290E7F"/>
    <w:rsid w:val="00291558"/>
    <w:rsid w:val="002965D4"/>
    <w:rsid w:val="002A505C"/>
    <w:rsid w:val="002A6E63"/>
    <w:rsid w:val="002A729E"/>
    <w:rsid w:val="002B0A30"/>
    <w:rsid w:val="002B418B"/>
    <w:rsid w:val="002B6977"/>
    <w:rsid w:val="002C11C5"/>
    <w:rsid w:val="002C34C9"/>
    <w:rsid w:val="002C5399"/>
    <w:rsid w:val="002D297B"/>
    <w:rsid w:val="002D2FBE"/>
    <w:rsid w:val="002D5E68"/>
    <w:rsid w:val="002D78A0"/>
    <w:rsid w:val="002E08AE"/>
    <w:rsid w:val="002E2603"/>
    <w:rsid w:val="002E4B30"/>
    <w:rsid w:val="002E75F1"/>
    <w:rsid w:val="002F02D9"/>
    <w:rsid w:val="002F3129"/>
    <w:rsid w:val="003048C9"/>
    <w:rsid w:val="0030541F"/>
    <w:rsid w:val="0030573F"/>
    <w:rsid w:val="0030579C"/>
    <w:rsid w:val="00306ADE"/>
    <w:rsid w:val="0030742B"/>
    <w:rsid w:val="003160C5"/>
    <w:rsid w:val="0032054A"/>
    <w:rsid w:val="00322520"/>
    <w:rsid w:val="00322DD9"/>
    <w:rsid w:val="00327C5D"/>
    <w:rsid w:val="00342F97"/>
    <w:rsid w:val="00347677"/>
    <w:rsid w:val="003510F7"/>
    <w:rsid w:val="00352D30"/>
    <w:rsid w:val="00355650"/>
    <w:rsid w:val="0036138E"/>
    <w:rsid w:val="00361DFA"/>
    <w:rsid w:val="00373804"/>
    <w:rsid w:val="003820C8"/>
    <w:rsid w:val="0038243B"/>
    <w:rsid w:val="00382A06"/>
    <w:rsid w:val="00386DD0"/>
    <w:rsid w:val="00390DDE"/>
    <w:rsid w:val="00390F0F"/>
    <w:rsid w:val="003A177A"/>
    <w:rsid w:val="003A4C42"/>
    <w:rsid w:val="003A4C80"/>
    <w:rsid w:val="003B0DE9"/>
    <w:rsid w:val="003B1E30"/>
    <w:rsid w:val="003B394E"/>
    <w:rsid w:val="003B4545"/>
    <w:rsid w:val="003C0EDC"/>
    <w:rsid w:val="003C7C44"/>
    <w:rsid w:val="003D037B"/>
    <w:rsid w:val="003D15B9"/>
    <w:rsid w:val="003D4AE2"/>
    <w:rsid w:val="003E1B80"/>
    <w:rsid w:val="003E4137"/>
    <w:rsid w:val="003E5190"/>
    <w:rsid w:val="003E6BE7"/>
    <w:rsid w:val="003F3132"/>
    <w:rsid w:val="003F3679"/>
    <w:rsid w:val="003F4A75"/>
    <w:rsid w:val="003F4D1C"/>
    <w:rsid w:val="00401F68"/>
    <w:rsid w:val="00403AA7"/>
    <w:rsid w:val="00406FA8"/>
    <w:rsid w:val="0041240F"/>
    <w:rsid w:val="004134D9"/>
    <w:rsid w:val="00416BC4"/>
    <w:rsid w:val="00421122"/>
    <w:rsid w:val="00425483"/>
    <w:rsid w:val="00432174"/>
    <w:rsid w:val="00435629"/>
    <w:rsid w:val="00437046"/>
    <w:rsid w:val="00437D45"/>
    <w:rsid w:val="00437DA0"/>
    <w:rsid w:val="00442402"/>
    <w:rsid w:val="0044485C"/>
    <w:rsid w:val="004472BB"/>
    <w:rsid w:val="00451902"/>
    <w:rsid w:val="00453129"/>
    <w:rsid w:val="00455F0D"/>
    <w:rsid w:val="00456590"/>
    <w:rsid w:val="00456D67"/>
    <w:rsid w:val="00460DCA"/>
    <w:rsid w:val="00461078"/>
    <w:rsid w:val="004610AC"/>
    <w:rsid w:val="004652B1"/>
    <w:rsid w:val="00466945"/>
    <w:rsid w:val="004757E3"/>
    <w:rsid w:val="0047581E"/>
    <w:rsid w:val="00476836"/>
    <w:rsid w:val="00482A36"/>
    <w:rsid w:val="00483A5D"/>
    <w:rsid w:val="00485879"/>
    <w:rsid w:val="004943FE"/>
    <w:rsid w:val="004969D5"/>
    <w:rsid w:val="004B254A"/>
    <w:rsid w:val="004B6C0F"/>
    <w:rsid w:val="004B74BC"/>
    <w:rsid w:val="004B75FA"/>
    <w:rsid w:val="004B7A29"/>
    <w:rsid w:val="004C14E8"/>
    <w:rsid w:val="004C36CF"/>
    <w:rsid w:val="004C4CE9"/>
    <w:rsid w:val="004D0475"/>
    <w:rsid w:val="004D048E"/>
    <w:rsid w:val="004D38F1"/>
    <w:rsid w:val="004E608A"/>
    <w:rsid w:val="004E6C04"/>
    <w:rsid w:val="004E7998"/>
    <w:rsid w:val="004F034B"/>
    <w:rsid w:val="004F266A"/>
    <w:rsid w:val="004F4575"/>
    <w:rsid w:val="004F7A1A"/>
    <w:rsid w:val="00500FB8"/>
    <w:rsid w:val="005045F4"/>
    <w:rsid w:val="005047AD"/>
    <w:rsid w:val="00504E09"/>
    <w:rsid w:val="00504E6A"/>
    <w:rsid w:val="00504FCF"/>
    <w:rsid w:val="00516938"/>
    <w:rsid w:val="00517A78"/>
    <w:rsid w:val="00517F90"/>
    <w:rsid w:val="00520B1E"/>
    <w:rsid w:val="00520C76"/>
    <w:rsid w:val="0052466F"/>
    <w:rsid w:val="00524BCF"/>
    <w:rsid w:val="00524DC3"/>
    <w:rsid w:val="0053016D"/>
    <w:rsid w:val="00531938"/>
    <w:rsid w:val="00536714"/>
    <w:rsid w:val="005413BC"/>
    <w:rsid w:val="005440EE"/>
    <w:rsid w:val="00545A70"/>
    <w:rsid w:val="00545B68"/>
    <w:rsid w:val="005516DB"/>
    <w:rsid w:val="00556135"/>
    <w:rsid w:val="00557C3F"/>
    <w:rsid w:val="00560CF2"/>
    <w:rsid w:val="00565241"/>
    <w:rsid w:val="00570A74"/>
    <w:rsid w:val="0057394B"/>
    <w:rsid w:val="00577E39"/>
    <w:rsid w:val="00581CB8"/>
    <w:rsid w:val="00586EB0"/>
    <w:rsid w:val="00590CC6"/>
    <w:rsid w:val="00592EFE"/>
    <w:rsid w:val="005A11FC"/>
    <w:rsid w:val="005A1BDF"/>
    <w:rsid w:val="005A1E68"/>
    <w:rsid w:val="005A492B"/>
    <w:rsid w:val="005A6E44"/>
    <w:rsid w:val="005B6E45"/>
    <w:rsid w:val="005C11F5"/>
    <w:rsid w:val="005C126E"/>
    <w:rsid w:val="005C2798"/>
    <w:rsid w:val="005C5394"/>
    <w:rsid w:val="005C654A"/>
    <w:rsid w:val="005C7DCB"/>
    <w:rsid w:val="005D17A1"/>
    <w:rsid w:val="005E2959"/>
    <w:rsid w:val="005E3749"/>
    <w:rsid w:val="005E618D"/>
    <w:rsid w:val="005F355F"/>
    <w:rsid w:val="005F7BF2"/>
    <w:rsid w:val="00600524"/>
    <w:rsid w:val="00610A86"/>
    <w:rsid w:val="00611543"/>
    <w:rsid w:val="00615B7C"/>
    <w:rsid w:val="0061743A"/>
    <w:rsid w:val="00622139"/>
    <w:rsid w:val="00623627"/>
    <w:rsid w:val="00625840"/>
    <w:rsid w:val="00625F36"/>
    <w:rsid w:val="00627D0A"/>
    <w:rsid w:val="00634B83"/>
    <w:rsid w:val="00637710"/>
    <w:rsid w:val="0064138B"/>
    <w:rsid w:val="00643F00"/>
    <w:rsid w:val="00647F3A"/>
    <w:rsid w:val="00652F92"/>
    <w:rsid w:val="006534B4"/>
    <w:rsid w:val="00656FC0"/>
    <w:rsid w:val="0066323C"/>
    <w:rsid w:val="00663A79"/>
    <w:rsid w:val="0067784F"/>
    <w:rsid w:val="00681771"/>
    <w:rsid w:val="00681ABC"/>
    <w:rsid w:val="00686D11"/>
    <w:rsid w:val="00693BCE"/>
    <w:rsid w:val="006A4762"/>
    <w:rsid w:val="006A6170"/>
    <w:rsid w:val="006A61A3"/>
    <w:rsid w:val="006A70C3"/>
    <w:rsid w:val="006B083F"/>
    <w:rsid w:val="006B1891"/>
    <w:rsid w:val="006B2B4E"/>
    <w:rsid w:val="006B64FB"/>
    <w:rsid w:val="006B7C20"/>
    <w:rsid w:val="006C1935"/>
    <w:rsid w:val="006C52CB"/>
    <w:rsid w:val="006C5E3A"/>
    <w:rsid w:val="006C6661"/>
    <w:rsid w:val="006D28F7"/>
    <w:rsid w:val="006D44A5"/>
    <w:rsid w:val="006D4A3C"/>
    <w:rsid w:val="006E6033"/>
    <w:rsid w:val="006E6210"/>
    <w:rsid w:val="006E65CC"/>
    <w:rsid w:val="006E7454"/>
    <w:rsid w:val="006F495E"/>
    <w:rsid w:val="006F4A87"/>
    <w:rsid w:val="006F72A4"/>
    <w:rsid w:val="00702F1F"/>
    <w:rsid w:val="00706598"/>
    <w:rsid w:val="00713D42"/>
    <w:rsid w:val="00714681"/>
    <w:rsid w:val="00720EFC"/>
    <w:rsid w:val="00724293"/>
    <w:rsid w:val="007265E1"/>
    <w:rsid w:val="00731C2D"/>
    <w:rsid w:val="0073412B"/>
    <w:rsid w:val="00734190"/>
    <w:rsid w:val="007341B5"/>
    <w:rsid w:val="0073786F"/>
    <w:rsid w:val="0074067B"/>
    <w:rsid w:val="00741E9B"/>
    <w:rsid w:val="007434D9"/>
    <w:rsid w:val="00745896"/>
    <w:rsid w:val="00745F1F"/>
    <w:rsid w:val="007463AA"/>
    <w:rsid w:val="00751226"/>
    <w:rsid w:val="00751857"/>
    <w:rsid w:val="00752896"/>
    <w:rsid w:val="00766602"/>
    <w:rsid w:val="00774AE4"/>
    <w:rsid w:val="00774C9C"/>
    <w:rsid w:val="007810B4"/>
    <w:rsid w:val="007811A0"/>
    <w:rsid w:val="007828E3"/>
    <w:rsid w:val="00784C02"/>
    <w:rsid w:val="00786937"/>
    <w:rsid w:val="00787A94"/>
    <w:rsid w:val="00787EC0"/>
    <w:rsid w:val="00791700"/>
    <w:rsid w:val="00797554"/>
    <w:rsid w:val="007A32BE"/>
    <w:rsid w:val="007A5476"/>
    <w:rsid w:val="007A67A7"/>
    <w:rsid w:val="007A6ED7"/>
    <w:rsid w:val="007B4E5A"/>
    <w:rsid w:val="007C1613"/>
    <w:rsid w:val="007C3884"/>
    <w:rsid w:val="007C4B7B"/>
    <w:rsid w:val="007D71F4"/>
    <w:rsid w:val="007F3363"/>
    <w:rsid w:val="007F7015"/>
    <w:rsid w:val="007F76F8"/>
    <w:rsid w:val="00802BA6"/>
    <w:rsid w:val="00810D6C"/>
    <w:rsid w:val="008208B7"/>
    <w:rsid w:val="008255FC"/>
    <w:rsid w:val="00826DEF"/>
    <w:rsid w:val="008273AB"/>
    <w:rsid w:val="00834406"/>
    <w:rsid w:val="00840697"/>
    <w:rsid w:val="0085097C"/>
    <w:rsid w:val="008509C0"/>
    <w:rsid w:val="008554B2"/>
    <w:rsid w:val="00856497"/>
    <w:rsid w:val="00856A8E"/>
    <w:rsid w:val="00865782"/>
    <w:rsid w:val="00865D64"/>
    <w:rsid w:val="00866BF8"/>
    <w:rsid w:val="00875B5A"/>
    <w:rsid w:val="00875C69"/>
    <w:rsid w:val="00880550"/>
    <w:rsid w:val="00884B2F"/>
    <w:rsid w:val="00887BB7"/>
    <w:rsid w:val="00891400"/>
    <w:rsid w:val="00891994"/>
    <w:rsid w:val="008928EF"/>
    <w:rsid w:val="00892AAE"/>
    <w:rsid w:val="0089330B"/>
    <w:rsid w:val="00893EB9"/>
    <w:rsid w:val="00894F79"/>
    <w:rsid w:val="00894FEC"/>
    <w:rsid w:val="00895AF8"/>
    <w:rsid w:val="008A215D"/>
    <w:rsid w:val="008A2F95"/>
    <w:rsid w:val="008A3818"/>
    <w:rsid w:val="008A794D"/>
    <w:rsid w:val="008B3E7F"/>
    <w:rsid w:val="008C38BD"/>
    <w:rsid w:val="008C3E03"/>
    <w:rsid w:val="008C4949"/>
    <w:rsid w:val="008C4A49"/>
    <w:rsid w:val="008C6BF1"/>
    <w:rsid w:val="008D3369"/>
    <w:rsid w:val="008D7186"/>
    <w:rsid w:val="008D7E81"/>
    <w:rsid w:val="008E0153"/>
    <w:rsid w:val="008F14D8"/>
    <w:rsid w:val="008F3292"/>
    <w:rsid w:val="008F488D"/>
    <w:rsid w:val="008F5314"/>
    <w:rsid w:val="009010D6"/>
    <w:rsid w:val="00901191"/>
    <w:rsid w:val="00902E79"/>
    <w:rsid w:val="00903E67"/>
    <w:rsid w:val="00911FC3"/>
    <w:rsid w:val="00912D2A"/>
    <w:rsid w:val="00913126"/>
    <w:rsid w:val="00914905"/>
    <w:rsid w:val="00916BCE"/>
    <w:rsid w:val="00916D45"/>
    <w:rsid w:val="00917769"/>
    <w:rsid w:val="00920B4B"/>
    <w:rsid w:val="00920D1D"/>
    <w:rsid w:val="00924601"/>
    <w:rsid w:val="0092633C"/>
    <w:rsid w:val="00926E01"/>
    <w:rsid w:val="009275BB"/>
    <w:rsid w:val="0093196E"/>
    <w:rsid w:val="00931E00"/>
    <w:rsid w:val="00932752"/>
    <w:rsid w:val="00932B88"/>
    <w:rsid w:val="00933791"/>
    <w:rsid w:val="00933E91"/>
    <w:rsid w:val="009355A3"/>
    <w:rsid w:val="00944769"/>
    <w:rsid w:val="0094528D"/>
    <w:rsid w:val="009469AC"/>
    <w:rsid w:val="00950B29"/>
    <w:rsid w:val="00950F43"/>
    <w:rsid w:val="009532B6"/>
    <w:rsid w:val="0095422B"/>
    <w:rsid w:val="00954ABD"/>
    <w:rsid w:val="0095557E"/>
    <w:rsid w:val="00963580"/>
    <w:rsid w:val="0096362E"/>
    <w:rsid w:val="00965732"/>
    <w:rsid w:val="009662A5"/>
    <w:rsid w:val="00967BD8"/>
    <w:rsid w:val="0097396D"/>
    <w:rsid w:val="00980471"/>
    <w:rsid w:val="009822A4"/>
    <w:rsid w:val="0098421B"/>
    <w:rsid w:val="00990BF9"/>
    <w:rsid w:val="00996CD1"/>
    <w:rsid w:val="009A3161"/>
    <w:rsid w:val="009A4086"/>
    <w:rsid w:val="009A6312"/>
    <w:rsid w:val="009B0953"/>
    <w:rsid w:val="009B3A28"/>
    <w:rsid w:val="009B6D82"/>
    <w:rsid w:val="009B6E4F"/>
    <w:rsid w:val="009B6EF3"/>
    <w:rsid w:val="009C06EC"/>
    <w:rsid w:val="009C5571"/>
    <w:rsid w:val="009C6E45"/>
    <w:rsid w:val="009C7F24"/>
    <w:rsid w:val="009D033F"/>
    <w:rsid w:val="009D08DC"/>
    <w:rsid w:val="009D3824"/>
    <w:rsid w:val="009E2FE5"/>
    <w:rsid w:val="009E5A13"/>
    <w:rsid w:val="009F0420"/>
    <w:rsid w:val="009F36E9"/>
    <w:rsid w:val="009F5679"/>
    <w:rsid w:val="00A01653"/>
    <w:rsid w:val="00A06FCD"/>
    <w:rsid w:val="00A071C9"/>
    <w:rsid w:val="00A12695"/>
    <w:rsid w:val="00A13DA2"/>
    <w:rsid w:val="00A23543"/>
    <w:rsid w:val="00A27358"/>
    <w:rsid w:val="00A3123B"/>
    <w:rsid w:val="00A3166E"/>
    <w:rsid w:val="00A333D9"/>
    <w:rsid w:val="00A360B6"/>
    <w:rsid w:val="00A417AB"/>
    <w:rsid w:val="00A44D4A"/>
    <w:rsid w:val="00A51108"/>
    <w:rsid w:val="00A54F11"/>
    <w:rsid w:val="00A5561D"/>
    <w:rsid w:val="00A57A27"/>
    <w:rsid w:val="00A62A3B"/>
    <w:rsid w:val="00A65C07"/>
    <w:rsid w:val="00A66AFA"/>
    <w:rsid w:val="00A678B5"/>
    <w:rsid w:val="00A75591"/>
    <w:rsid w:val="00A75FA8"/>
    <w:rsid w:val="00A80F38"/>
    <w:rsid w:val="00A81CE6"/>
    <w:rsid w:val="00A83ABF"/>
    <w:rsid w:val="00A83FFD"/>
    <w:rsid w:val="00A92184"/>
    <w:rsid w:val="00A95051"/>
    <w:rsid w:val="00A96244"/>
    <w:rsid w:val="00A97146"/>
    <w:rsid w:val="00A974A1"/>
    <w:rsid w:val="00AA3AD6"/>
    <w:rsid w:val="00AA54CB"/>
    <w:rsid w:val="00AB6B52"/>
    <w:rsid w:val="00AB7D95"/>
    <w:rsid w:val="00AC1C84"/>
    <w:rsid w:val="00AC71E4"/>
    <w:rsid w:val="00AC73FA"/>
    <w:rsid w:val="00AC79BE"/>
    <w:rsid w:val="00AD637D"/>
    <w:rsid w:val="00AD7C16"/>
    <w:rsid w:val="00AD7C96"/>
    <w:rsid w:val="00AD7FF1"/>
    <w:rsid w:val="00AE0F10"/>
    <w:rsid w:val="00AE41C7"/>
    <w:rsid w:val="00AF08DC"/>
    <w:rsid w:val="00AF3C75"/>
    <w:rsid w:val="00AF4400"/>
    <w:rsid w:val="00AF5306"/>
    <w:rsid w:val="00B000D7"/>
    <w:rsid w:val="00B028CE"/>
    <w:rsid w:val="00B033F4"/>
    <w:rsid w:val="00B10181"/>
    <w:rsid w:val="00B11061"/>
    <w:rsid w:val="00B16110"/>
    <w:rsid w:val="00B1686A"/>
    <w:rsid w:val="00B17465"/>
    <w:rsid w:val="00B202BA"/>
    <w:rsid w:val="00B2150D"/>
    <w:rsid w:val="00B22309"/>
    <w:rsid w:val="00B22BD2"/>
    <w:rsid w:val="00B22F24"/>
    <w:rsid w:val="00B2444C"/>
    <w:rsid w:val="00B26E95"/>
    <w:rsid w:val="00B461F6"/>
    <w:rsid w:val="00B46477"/>
    <w:rsid w:val="00B5608F"/>
    <w:rsid w:val="00B56A47"/>
    <w:rsid w:val="00B57CF1"/>
    <w:rsid w:val="00B65A44"/>
    <w:rsid w:val="00B713E9"/>
    <w:rsid w:val="00B7225F"/>
    <w:rsid w:val="00B8133A"/>
    <w:rsid w:val="00B8423B"/>
    <w:rsid w:val="00B84581"/>
    <w:rsid w:val="00B84C60"/>
    <w:rsid w:val="00B91F8D"/>
    <w:rsid w:val="00BA1C22"/>
    <w:rsid w:val="00BA5B2E"/>
    <w:rsid w:val="00BA69EA"/>
    <w:rsid w:val="00BA7FC4"/>
    <w:rsid w:val="00BB310B"/>
    <w:rsid w:val="00BB373D"/>
    <w:rsid w:val="00BB4669"/>
    <w:rsid w:val="00BB4CFB"/>
    <w:rsid w:val="00BB53AF"/>
    <w:rsid w:val="00BC1ACC"/>
    <w:rsid w:val="00BC4874"/>
    <w:rsid w:val="00BC7DF5"/>
    <w:rsid w:val="00BD0673"/>
    <w:rsid w:val="00BD235B"/>
    <w:rsid w:val="00BD2B87"/>
    <w:rsid w:val="00BE1052"/>
    <w:rsid w:val="00BE1FD4"/>
    <w:rsid w:val="00BE2875"/>
    <w:rsid w:val="00BE5441"/>
    <w:rsid w:val="00BF04CD"/>
    <w:rsid w:val="00BF19DB"/>
    <w:rsid w:val="00BF2626"/>
    <w:rsid w:val="00C034E2"/>
    <w:rsid w:val="00C052BA"/>
    <w:rsid w:val="00C07EBC"/>
    <w:rsid w:val="00C10A78"/>
    <w:rsid w:val="00C14361"/>
    <w:rsid w:val="00C14DE1"/>
    <w:rsid w:val="00C15097"/>
    <w:rsid w:val="00C24340"/>
    <w:rsid w:val="00C256FD"/>
    <w:rsid w:val="00C260BB"/>
    <w:rsid w:val="00C26CB6"/>
    <w:rsid w:val="00C30F0B"/>
    <w:rsid w:val="00C32118"/>
    <w:rsid w:val="00C32B9A"/>
    <w:rsid w:val="00C35FA0"/>
    <w:rsid w:val="00C37AF4"/>
    <w:rsid w:val="00C436FB"/>
    <w:rsid w:val="00C459CD"/>
    <w:rsid w:val="00C47141"/>
    <w:rsid w:val="00C4728B"/>
    <w:rsid w:val="00C47318"/>
    <w:rsid w:val="00C478EC"/>
    <w:rsid w:val="00C500CA"/>
    <w:rsid w:val="00C5072C"/>
    <w:rsid w:val="00C539C8"/>
    <w:rsid w:val="00C55AD3"/>
    <w:rsid w:val="00C5693C"/>
    <w:rsid w:val="00C67809"/>
    <w:rsid w:val="00C67962"/>
    <w:rsid w:val="00C67B44"/>
    <w:rsid w:val="00C70A30"/>
    <w:rsid w:val="00C75910"/>
    <w:rsid w:val="00C767C5"/>
    <w:rsid w:val="00C8416B"/>
    <w:rsid w:val="00C84EC2"/>
    <w:rsid w:val="00C85900"/>
    <w:rsid w:val="00C90DBE"/>
    <w:rsid w:val="00CA3E4B"/>
    <w:rsid w:val="00CA43CA"/>
    <w:rsid w:val="00CA5870"/>
    <w:rsid w:val="00CA7F08"/>
    <w:rsid w:val="00CB6AEB"/>
    <w:rsid w:val="00CC363D"/>
    <w:rsid w:val="00CD207C"/>
    <w:rsid w:val="00CD4C8A"/>
    <w:rsid w:val="00CE1A29"/>
    <w:rsid w:val="00CE29CE"/>
    <w:rsid w:val="00CE3812"/>
    <w:rsid w:val="00CE76F2"/>
    <w:rsid w:val="00CF27CE"/>
    <w:rsid w:val="00CF4862"/>
    <w:rsid w:val="00CF5257"/>
    <w:rsid w:val="00D02C7D"/>
    <w:rsid w:val="00D05856"/>
    <w:rsid w:val="00D12E96"/>
    <w:rsid w:val="00D15223"/>
    <w:rsid w:val="00D207B7"/>
    <w:rsid w:val="00D20A2C"/>
    <w:rsid w:val="00D22400"/>
    <w:rsid w:val="00D236C9"/>
    <w:rsid w:val="00D237FF"/>
    <w:rsid w:val="00D26CCD"/>
    <w:rsid w:val="00D321FC"/>
    <w:rsid w:val="00D322CE"/>
    <w:rsid w:val="00D32D21"/>
    <w:rsid w:val="00D34EDC"/>
    <w:rsid w:val="00D35382"/>
    <w:rsid w:val="00D35C34"/>
    <w:rsid w:val="00D36A8C"/>
    <w:rsid w:val="00D37777"/>
    <w:rsid w:val="00D50813"/>
    <w:rsid w:val="00D55F26"/>
    <w:rsid w:val="00D563F4"/>
    <w:rsid w:val="00D663D4"/>
    <w:rsid w:val="00D7792A"/>
    <w:rsid w:val="00D82040"/>
    <w:rsid w:val="00D827E2"/>
    <w:rsid w:val="00D857E9"/>
    <w:rsid w:val="00DA2393"/>
    <w:rsid w:val="00DA569B"/>
    <w:rsid w:val="00DB0A1E"/>
    <w:rsid w:val="00DB5A08"/>
    <w:rsid w:val="00DB7293"/>
    <w:rsid w:val="00DC6208"/>
    <w:rsid w:val="00DC718E"/>
    <w:rsid w:val="00DC7214"/>
    <w:rsid w:val="00DC7346"/>
    <w:rsid w:val="00DD3C99"/>
    <w:rsid w:val="00DD41F0"/>
    <w:rsid w:val="00DE0EFE"/>
    <w:rsid w:val="00DE10C4"/>
    <w:rsid w:val="00DE446A"/>
    <w:rsid w:val="00DE4938"/>
    <w:rsid w:val="00E12EA3"/>
    <w:rsid w:val="00E1470E"/>
    <w:rsid w:val="00E1604E"/>
    <w:rsid w:val="00E17106"/>
    <w:rsid w:val="00E2021E"/>
    <w:rsid w:val="00E23D00"/>
    <w:rsid w:val="00E30C73"/>
    <w:rsid w:val="00E31683"/>
    <w:rsid w:val="00E33D66"/>
    <w:rsid w:val="00E34C11"/>
    <w:rsid w:val="00E34DF2"/>
    <w:rsid w:val="00E4247A"/>
    <w:rsid w:val="00E57E8B"/>
    <w:rsid w:val="00E621F7"/>
    <w:rsid w:val="00E632FE"/>
    <w:rsid w:val="00E64B48"/>
    <w:rsid w:val="00E64E83"/>
    <w:rsid w:val="00E66213"/>
    <w:rsid w:val="00E667BF"/>
    <w:rsid w:val="00E66AE0"/>
    <w:rsid w:val="00E67260"/>
    <w:rsid w:val="00E74E8A"/>
    <w:rsid w:val="00E85516"/>
    <w:rsid w:val="00EB5005"/>
    <w:rsid w:val="00EC350D"/>
    <w:rsid w:val="00EC6324"/>
    <w:rsid w:val="00ED66CE"/>
    <w:rsid w:val="00ED6D8E"/>
    <w:rsid w:val="00EE046C"/>
    <w:rsid w:val="00EE2A37"/>
    <w:rsid w:val="00EE4FA6"/>
    <w:rsid w:val="00EE60B2"/>
    <w:rsid w:val="00EF2413"/>
    <w:rsid w:val="00EF2DBB"/>
    <w:rsid w:val="00F0066A"/>
    <w:rsid w:val="00F01239"/>
    <w:rsid w:val="00F01477"/>
    <w:rsid w:val="00F039FC"/>
    <w:rsid w:val="00F059A3"/>
    <w:rsid w:val="00F07176"/>
    <w:rsid w:val="00F10843"/>
    <w:rsid w:val="00F10ACA"/>
    <w:rsid w:val="00F11BC8"/>
    <w:rsid w:val="00F1532C"/>
    <w:rsid w:val="00F21F96"/>
    <w:rsid w:val="00F250B3"/>
    <w:rsid w:val="00F27DA8"/>
    <w:rsid w:val="00F30E31"/>
    <w:rsid w:val="00F3256B"/>
    <w:rsid w:val="00F43EF8"/>
    <w:rsid w:val="00F44241"/>
    <w:rsid w:val="00F4496B"/>
    <w:rsid w:val="00F50BDD"/>
    <w:rsid w:val="00F5215F"/>
    <w:rsid w:val="00F55736"/>
    <w:rsid w:val="00F70B69"/>
    <w:rsid w:val="00F800AB"/>
    <w:rsid w:val="00F811FD"/>
    <w:rsid w:val="00F853CA"/>
    <w:rsid w:val="00F90785"/>
    <w:rsid w:val="00F94D9E"/>
    <w:rsid w:val="00F95168"/>
    <w:rsid w:val="00F97B62"/>
    <w:rsid w:val="00FA60A9"/>
    <w:rsid w:val="00FB584D"/>
    <w:rsid w:val="00FC0662"/>
    <w:rsid w:val="00FC1432"/>
    <w:rsid w:val="00FC2446"/>
    <w:rsid w:val="00FC41D8"/>
    <w:rsid w:val="00FD07A1"/>
    <w:rsid w:val="00FD1E9B"/>
    <w:rsid w:val="00FD46F9"/>
    <w:rsid w:val="00FE0131"/>
    <w:rsid w:val="00FE0CFD"/>
    <w:rsid w:val="00FE1B6D"/>
    <w:rsid w:val="00FE6AC1"/>
    <w:rsid w:val="00FF3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D42"/>
    <w:pPr>
      <w:spacing w:after="200" w:line="360" w:lineRule="auto"/>
      <w:jc w:val="both"/>
    </w:pPr>
    <w:rPr>
      <w:rFonts w:asciiTheme="majorHAnsi" w:hAnsiTheme="majorHAnsi"/>
      <w:lang w:val="pt-BR" w:eastAsia="pt-BR"/>
    </w:rPr>
  </w:style>
  <w:style w:type="paragraph" w:styleId="Ttulo1">
    <w:name w:val="heading 1"/>
    <w:basedOn w:val="Normal"/>
    <w:next w:val="Normal"/>
    <w:link w:val="Ttulo1Char"/>
    <w:uiPriority w:val="9"/>
    <w:qFormat/>
    <w:rsid w:val="00DA569B"/>
    <w:pPr>
      <w:keepNext/>
      <w:keepLines/>
      <w:spacing w:after="0"/>
      <w:outlineLvl w:val="0"/>
    </w:pPr>
    <w:rPr>
      <w:rFonts w:eastAsiaTheme="majorEastAsia" w:cstheme="majorBidi"/>
      <w:b/>
      <w:bCs/>
      <w:smallCaps/>
      <w:sz w:val="32"/>
      <w:szCs w:val="28"/>
    </w:rPr>
  </w:style>
  <w:style w:type="paragraph" w:styleId="Ttulo2">
    <w:name w:val="heading 2"/>
    <w:basedOn w:val="Normal"/>
    <w:next w:val="Normal"/>
    <w:link w:val="Ttulo2Char"/>
    <w:uiPriority w:val="9"/>
    <w:unhideWhenUsed/>
    <w:qFormat/>
    <w:rsid w:val="00386DD0"/>
    <w:pPr>
      <w:keepNext/>
      <w:keepLines/>
      <w:spacing w:before="200" w:after="0"/>
      <w:outlineLvl w:val="1"/>
    </w:pPr>
    <w:rPr>
      <w:rFonts w:eastAsiaTheme="majorEastAsia" w:cstheme="majorBidi"/>
      <w:b/>
      <w:bCs/>
      <w:smallCaps/>
      <w:color w:val="7F7F7F" w:themeColor="text1" w:themeTint="80"/>
      <w:sz w:val="26"/>
      <w:szCs w:val="26"/>
    </w:rPr>
  </w:style>
  <w:style w:type="paragraph" w:styleId="Ttulo3">
    <w:name w:val="heading 3"/>
    <w:basedOn w:val="Normal"/>
    <w:next w:val="Normal"/>
    <w:link w:val="Ttulo3Char"/>
    <w:uiPriority w:val="9"/>
    <w:unhideWhenUsed/>
    <w:qFormat/>
    <w:rsid w:val="00386DD0"/>
    <w:pPr>
      <w:keepNext/>
      <w:keepLines/>
      <w:spacing w:before="200" w:after="0"/>
      <w:outlineLvl w:val="2"/>
    </w:pPr>
    <w:rPr>
      <w:rFonts w:eastAsiaTheme="majorEastAsia" w:cstheme="majorBidi"/>
      <w:b/>
      <w:bCs/>
      <w:color w:val="7F7F7F" w:themeColor="text1" w:themeTint="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5561D"/>
    <w:pPr>
      <w:tabs>
        <w:tab w:val="center" w:pos="4320"/>
        <w:tab w:val="right" w:pos="8640"/>
      </w:tabs>
      <w:spacing w:after="0" w:line="240" w:lineRule="auto"/>
    </w:pPr>
  </w:style>
  <w:style w:type="character" w:customStyle="1" w:styleId="CabealhoChar">
    <w:name w:val="Cabeçalho Char"/>
    <w:basedOn w:val="Fontepargpadro"/>
    <w:link w:val="Cabealho"/>
    <w:uiPriority w:val="99"/>
    <w:rsid w:val="00A5561D"/>
    <w:rPr>
      <w:rFonts w:asciiTheme="minorHAnsi" w:hAnsiTheme="minorHAnsi"/>
      <w:sz w:val="22"/>
      <w:szCs w:val="22"/>
      <w:lang w:val="pt-BR" w:eastAsia="pt-BR"/>
    </w:rPr>
  </w:style>
  <w:style w:type="paragraph" w:styleId="Rodap">
    <w:name w:val="footer"/>
    <w:basedOn w:val="Normal"/>
    <w:link w:val="RodapChar"/>
    <w:uiPriority w:val="99"/>
    <w:unhideWhenUsed/>
    <w:rsid w:val="00A5561D"/>
    <w:pPr>
      <w:tabs>
        <w:tab w:val="center" w:pos="4320"/>
        <w:tab w:val="right" w:pos="8640"/>
      </w:tabs>
      <w:spacing w:after="0" w:line="240" w:lineRule="auto"/>
    </w:pPr>
  </w:style>
  <w:style w:type="character" w:customStyle="1" w:styleId="RodapChar">
    <w:name w:val="Rodapé Char"/>
    <w:basedOn w:val="Fontepargpadro"/>
    <w:link w:val="Rodap"/>
    <w:uiPriority w:val="99"/>
    <w:rsid w:val="00A5561D"/>
    <w:rPr>
      <w:rFonts w:asciiTheme="minorHAnsi" w:hAnsiTheme="minorHAnsi"/>
      <w:sz w:val="22"/>
      <w:szCs w:val="22"/>
      <w:lang w:val="pt-BR" w:eastAsia="pt-BR"/>
    </w:rPr>
  </w:style>
  <w:style w:type="paragraph" w:styleId="Textodebalo">
    <w:name w:val="Balloon Text"/>
    <w:basedOn w:val="Normal"/>
    <w:link w:val="TextodebaloChar"/>
    <w:uiPriority w:val="99"/>
    <w:semiHidden/>
    <w:unhideWhenUsed/>
    <w:rsid w:val="00A5561D"/>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A5561D"/>
    <w:rPr>
      <w:rFonts w:ascii="Lucida Grande" w:hAnsi="Lucida Grande" w:cs="Lucida Grande"/>
      <w:sz w:val="18"/>
      <w:szCs w:val="18"/>
      <w:lang w:val="pt-BR" w:eastAsia="pt-BR"/>
    </w:rPr>
  </w:style>
  <w:style w:type="character" w:styleId="Hyperlink">
    <w:name w:val="Hyperlink"/>
    <w:basedOn w:val="Fontepargpadro"/>
    <w:uiPriority w:val="99"/>
    <w:unhideWhenUsed/>
    <w:rsid w:val="000261EC"/>
    <w:rPr>
      <w:color w:val="0000FF" w:themeColor="hyperlink"/>
      <w:u w:val="single"/>
    </w:rPr>
  </w:style>
  <w:style w:type="character" w:customStyle="1" w:styleId="Ttulo1Char">
    <w:name w:val="Título 1 Char"/>
    <w:basedOn w:val="Fontepargpadro"/>
    <w:link w:val="Ttulo1"/>
    <w:uiPriority w:val="9"/>
    <w:rsid w:val="00DA569B"/>
    <w:rPr>
      <w:rFonts w:asciiTheme="majorHAnsi" w:eastAsiaTheme="majorEastAsia" w:hAnsiTheme="majorHAnsi" w:cstheme="majorBidi"/>
      <w:b/>
      <w:bCs/>
      <w:smallCaps/>
      <w:sz w:val="32"/>
      <w:szCs w:val="28"/>
      <w:lang w:val="pt-BR" w:eastAsia="pt-BR"/>
    </w:rPr>
  </w:style>
  <w:style w:type="character" w:styleId="HiperlinkVisitado">
    <w:name w:val="FollowedHyperlink"/>
    <w:basedOn w:val="Fontepargpadro"/>
    <w:uiPriority w:val="99"/>
    <w:semiHidden/>
    <w:unhideWhenUsed/>
    <w:rsid w:val="001E723F"/>
    <w:rPr>
      <w:color w:val="800080" w:themeColor="followedHyperlink"/>
      <w:u w:val="single"/>
    </w:rPr>
  </w:style>
  <w:style w:type="character" w:styleId="Nmerodepgina">
    <w:name w:val="page number"/>
    <w:basedOn w:val="Fontepargpadro"/>
    <w:uiPriority w:val="99"/>
    <w:semiHidden/>
    <w:unhideWhenUsed/>
    <w:rsid w:val="001E723F"/>
  </w:style>
  <w:style w:type="table" w:styleId="Tabelacomgrade">
    <w:name w:val="Table Grid"/>
    <w:basedOn w:val="Tabelanormal"/>
    <w:uiPriority w:val="59"/>
    <w:rsid w:val="000F05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har">
    <w:name w:val="Título 2 Char"/>
    <w:basedOn w:val="Fontepargpadro"/>
    <w:link w:val="Ttulo2"/>
    <w:uiPriority w:val="9"/>
    <w:qFormat/>
    <w:rsid w:val="00386DD0"/>
    <w:rPr>
      <w:rFonts w:asciiTheme="majorHAnsi" w:eastAsiaTheme="majorEastAsia" w:hAnsiTheme="majorHAnsi" w:cstheme="majorBidi"/>
      <w:b/>
      <w:bCs/>
      <w:smallCaps/>
      <w:color w:val="7F7F7F" w:themeColor="text1" w:themeTint="80"/>
      <w:sz w:val="26"/>
      <w:szCs w:val="26"/>
      <w:lang w:val="pt-BR" w:eastAsia="pt-BR"/>
    </w:rPr>
  </w:style>
  <w:style w:type="paragraph" w:styleId="Sumrio1">
    <w:name w:val="toc 1"/>
    <w:basedOn w:val="Normal"/>
    <w:next w:val="Normal"/>
    <w:autoRedefine/>
    <w:uiPriority w:val="39"/>
    <w:unhideWhenUsed/>
    <w:rsid w:val="009F5679"/>
    <w:pPr>
      <w:spacing w:before="120" w:after="0"/>
      <w:jc w:val="left"/>
    </w:pPr>
    <w:rPr>
      <w:rFonts w:asciiTheme="minorHAnsi" w:hAnsiTheme="minorHAnsi"/>
      <w:b/>
    </w:rPr>
  </w:style>
  <w:style w:type="paragraph" w:styleId="Sumrio2">
    <w:name w:val="toc 2"/>
    <w:basedOn w:val="Normal"/>
    <w:next w:val="Normal"/>
    <w:autoRedefine/>
    <w:uiPriority w:val="39"/>
    <w:unhideWhenUsed/>
    <w:rsid w:val="009F5679"/>
    <w:pPr>
      <w:spacing w:after="0"/>
      <w:ind w:left="240"/>
      <w:jc w:val="left"/>
    </w:pPr>
    <w:rPr>
      <w:rFonts w:asciiTheme="minorHAnsi" w:hAnsiTheme="minorHAnsi"/>
      <w:b/>
      <w:sz w:val="22"/>
      <w:szCs w:val="22"/>
    </w:rPr>
  </w:style>
  <w:style w:type="paragraph" w:styleId="Sumrio3">
    <w:name w:val="toc 3"/>
    <w:basedOn w:val="Normal"/>
    <w:next w:val="Normal"/>
    <w:autoRedefine/>
    <w:uiPriority w:val="39"/>
    <w:unhideWhenUsed/>
    <w:rsid w:val="009F5679"/>
    <w:pPr>
      <w:spacing w:after="0"/>
      <w:ind w:left="480"/>
      <w:jc w:val="left"/>
    </w:pPr>
    <w:rPr>
      <w:rFonts w:asciiTheme="minorHAnsi" w:hAnsiTheme="minorHAnsi"/>
      <w:sz w:val="22"/>
      <w:szCs w:val="22"/>
    </w:rPr>
  </w:style>
  <w:style w:type="paragraph" w:styleId="Sumrio4">
    <w:name w:val="toc 4"/>
    <w:basedOn w:val="Normal"/>
    <w:next w:val="Normal"/>
    <w:autoRedefine/>
    <w:uiPriority w:val="39"/>
    <w:unhideWhenUsed/>
    <w:rsid w:val="009F5679"/>
    <w:pPr>
      <w:spacing w:after="0"/>
      <w:ind w:left="720"/>
      <w:jc w:val="left"/>
    </w:pPr>
    <w:rPr>
      <w:rFonts w:asciiTheme="minorHAnsi" w:hAnsiTheme="minorHAnsi"/>
      <w:sz w:val="20"/>
      <w:szCs w:val="20"/>
    </w:rPr>
  </w:style>
  <w:style w:type="paragraph" w:styleId="Sumrio5">
    <w:name w:val="toc 5"/>
    <w:basedOn w:val="Normal"/>
    <w:next w:val="Normal"/>
    <w:autoRedefine/>
    <w:uiPriority w:val="39"/>
    <w:unhideWhenUsed/>
    <w:rsid w:val="009F5679"/>
    <w:pPr>
      <w:spacing w:after="0"/>
      <w:ind w:left="960"/>
      <w:jc w:val="left"/>
    </w:pPr>
    <w:rPr>
      <w:rFonts w:asciiTheme="minorHAnsi" w:hAnsiTheme="minorHAnsi"/>
      <w:sz w:val="20"/>
      <w:szCs w:val="20"/>
    </w:rPr>
  </w:style>
  <w:style w:type="paragraph" w:styleId="Sumrio6">
    <w:name w:val="toc 6"/>
    <w:basedOn w:val="Normal"/>
    <w:next w:val="Normal"/>
    <w:autoRedefine/>
    <w:uiPriority w:val="39"/>
    <w:unhideWhenUsed/>
    <w:rsid w:val="009F5679"/>
    <w:pPr>
      <w:spacing w:after="0"/>
      <w:ind w:left="1200"/>
      <w:jc w:val="left"/>
    </w:pPr>
    <w:rPr>
      <w:rFonts w:asciiTheme="minorHAnsi" w:hAnsiTheme="minorHAnsi"/>
      <w:sz w:val="20"/>
      <w:szCs w:val="20"/>
    </w:rPr>
  </w:style>
  <w:style w:type="paragraph" w:styleId="Sumrio7">
    <w:name w:val="toc 7"/>
    <w:basedOn w:val="Normal"/>
    <w:next w:val="Normal"/>
    <w:autoRedefine/>
    <w:uiPriority w:val="39"/>
    <w:unhideWhenUsed/>
    <w:rsid w:val="009F5679"/>
    <w:pPr>
      <w:spacing w:after="0"/>
      <w:ind w:left="1440"/>
      <w:jc w:val="left"/>
    </w:pPr>
    <w:rPr>
      <w:rFonts w:asciiTheme="minorHAnsi" w:hAnsiTheme="minorHAnsi"/>
      <w:sz w:val="20"/>
      <w:szCs w:val="20"/>
    </w:rPr>
  </w:style>
  <w:style w:type="paragraph" w:styleId="Sumrio8">
    <w:name w:val="toc 8"/>
    <w:basedOn w:val="Normal"/>
    <w:next w:val="Normal"/>
    <w:autoRedefine/>
    <w:uiPriority w:val="39"/>
    <w:unhideWhenUsed/>
    <w:rsid w:val="009F5679"/>
    <w:pPr>
      <w:spacing w:after="0"/>
      <w:ind w:left="1680"/>
      <w:jc w:val="left"/>
    </w:pPr>
    <w:rPr>
      <w:rFonts w:asciiTheme="minorHAnsi" w:hAnsiTheme="minorHAnsi"/>
      <w:sz w:val="20"/>
      <w:szCs w:val="20"/>
    </w:rPr>
  </w:style>
  <w:style w:type="paragraph" w:styleId="Sumrio9">
    <w:name w:val="toc 9"/>
    <w:basedOn w:val="Normal"/>
    <w:next w:val="Normal"/>
    <w:autoRedefine/>
    <w:uiPriority w:val="39"/>
    <w:unhideWhenUsed/>
    <w:rsid w:val="009F5679"/>
    <w:pPr>
      <w:spacing w:after="0"/>
      <w:ind w:left="1920"/>
      <w:jc w:val="left"/>
    </w:pPr>
    <w:rPr>
      <w:rFonts w:asciiTheme="minorHAnsi" w:hAnsiTheme="minorHAnsi"/>
      <w:sz w:val="20"/>
      <w:szCs w:val="20"/>
    </w:rPr>
  </w:style>
  <w:style w:type="paragraph" w:styleId="CabealhodoSumrio">
    <w:name w:val="TOC Heading"/>
    <w:basedOn w:val="Ttulo1"/>
    <w:next w:val="Normal"/>
    <w:uiPriority w:val="39"/>
    <w:unhideWhenUsed/>
    <w:qFormat/>
    <w:rsid w:val="00880550"/>
    <w:pPr>
      <w:outlineLvl w:val="9"/>
    </w:pPr>
    <w:rPr>
      <w:smallCaps w:val="0"/>
      <w:sz w:val="28"/>
      <w:lang w:val="en-US" w:eastAsia="en-US"/>
    </w:rPr>
  </w:style>
  <w:style w:type="character" w:styleId="TextodoEspaoReservado">
    <w:name w:val="Placeholder Text"/>
    <w:basedOn w:val="Fontepargpadro"/>
    <w:uiPriority w:val="99"/>
    <w:semiHidden/>
    <w:rsid w:val="00967BD8"/>
    <w:rPr>
      <w:color w:val="808080"/>
    </w:rPr>
  </w:style>
  <w:style w:type="paragraph" w:styleId="Citao">
    <w:name w:val="Quote"/>
    <w:basedOn w:val="Normal"/>
    <w:next w:val="Normal"/>
    <w:link w:val="CitaoChar"/>
    <w:uiPriority w:val="29"/>
    <w:qFormat/>
    <w:rsid w:val="00C32B9A"/>
    <w:pPr>
      <w:spacing w:after="0" w:line="240" w:lineRule="auto"/>
    </w:pPr>
    <w:rPr>
      <w:iCs/>
      <w:color w:val="000000" w:themeColor="text1"/>
      <w:sz w:val="16"/>
    </w:rPr>
  </w:style>
  <w:style w:type="character" w:customStyle="1" w:styleId="CitaoChar">
    <w:name w:val="Citação Char"/>
    <w:basedOn w:val="Fontepargpadro"/>
    <w:link w:val="Citao"/>
    <w:uiPriority w:val="29"/>
    <w:rsid w:val="00C32B9A"/>
    <w:rPr>
      <w:rFonts w:asciiTheme="majorHAnsi" w:hAnsiTheme="majorHAnsi"/>
      <w:iCs/>
      <w:color w:val="000000" w:themeColor="text1"/>
      <w:sz w:val="16"/>
      <w:szCs w:val="22"/>
      <w:lang w:val="pt-BR" w:eastAsia="pt-BR"/>
    </w:rPr>
  </w:style>
  <w:style w:type="paragraph" w:styleId="Ttulo">
    <w:name w:val="Title"/>
    <w:basedOn w:val="Normal"/>
    <w:next w:val="Normal"/>
    <w:link w:val="TtuloChar"/>
    <w:uiPriority w:val="10"/>
    <w:qFormat/>
    <w:rsid w:val="004C14E8"/>
    <w:pPr>
      <w:pBdr>
        <w:bottom w:val="single" w:sz="8" w:space="4" w:color="4F81BD" w:themeColor="accent1"/>
      </w:pBdr>
      <w:spacing w:after="0" w:line="240" w:lineRule="auto"/>
      <w:contextualSpacing/>
      <w:jc w:val="center"/>
    </w:pPr>
    <w:rPr>
      <w:rFonts w:eastAsiaTheme="majorEastAsia" w:cstheme="majorBidi"/>
      <w:b/>
      <w:smallCaps/>
      <w:color w:val="FFFFFF" w:themeColor="background1"/>
      <w:spacing w:val="5"/>
      <w:kern w:val="28"/>
      <w:sz w:val="52"/>
      <w:szCs w:val="52"/>
    </w:rPr>
  </w:style>
  <w:style w:type="character" w:customStyle="1" w:styleId="TtuloChar">
    <w:name w:val="Título Char"/>
    <w:basedOn w:val="Fontepargpadro"/>
    <w:link w:val="Ttulo"/>
    <w:uiPriority w:val="10"/>
    <w:rsid w:val="004C14E8"/>
    <w:rPr>
      <w:rFonts w:asciiTheme="majorHAnsi" w:eastAsiaTheme="majorEastAsia" w:hAnsiTheme="majorHAnsi" w:cstheme="majorBidi"/>
      <w:b/>
      <w:smallCaps/>
      <w:color w:val="FFFFFF" w:themeColor="background1"/>
      <w:spacing w:val="5"/>
      <w:kern w:val="28"/>
      <w:sz w:val="52"/>
      <w:szCs w:val="52"/>
      <w:lang w:val="pt-BR" w:eastAsia="pt-BR"/>
    </w:rPr>
  </w:style>
  <w:style w:type="paragraph" w:styleId="PargrafodaLista">
    <w:name w:val="List Paragraph"/>
    <w:basedOn w:val="Normal"/>
    <w:uiPriority w:val="34"/>
    <w:qFormat/>
    <w:rsid w:val="00355650"/>
    <w:pPr>
      <w:numPr>
        <w:numId w:val="4"/>
      </w:numPr>
      <w:spacing w:after="0"/>
    </w:pPr>
  </w:style>
  <w:style w:type="paragraph" w:styleId="SemEspaamento">
    <w:name w:val="No Spacing"/>
    <w:uiPriority w:val="1"/>
    <w:qFormat/>
    <w:rsid w:val="00207562"/>
    <w:pPr>
      <w:contextualSpacing/>
      <w:jc w:val="both"/>
    </w:pPr>
    <w:rPr>
      <w:rFonts w:asciiTheme="majorHAnsi" w:hAnsiTheme="majorHAnsi"/>
      <w:sz w:val="21"/>
      <w:lang w:val="pt-BR" w:eastAsia="pt-BR"/>
    </w:rPr>
  </w:style>
  <w:style w:type="table" w:customStyle="1" w:styleId="SombreamentoClaro-nfase11">
    <w:name w:val="Sombreamento Claro - Ênfase 11"/>
    <w:basedOn w:val="Tabelanormal"/>
    <w:uiPriority w:val="60"/>
    <w:rsid w:val="00C767C5"/>
    <w:rPr>
      <w:rFonts w:asciiTheme="minorHAnsi" w:hAnsiTheme="minorHAnsi"/>
      <w:color w:val="365F91" w:themeColor="accent1" w:themeShade="BF"/>
      <w:sz w:val="22"/>
      <w:szCs w:val="22"/>
      <w:lang w:val="pt-BR" w:eastAsia="pt-B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Refdecomentrio">
    <w:name w:val="annotation reference"/>
    <w:basedOn w:val="Fontepargpadro"/>
    <w:uiPriority w:val="99"/>
    <w:semiHidden/>
    <w:unhideWhenUsed/>
    <w:rsid w:val="00355650"/>
    <w:rPr>
      <w:sz w:val="16"/>
      <w:szCs w:val="16"/>
    </w:rPr>
  </w:style>
  <w:style w:type="paragraph" w:styleId="Textodecomentrio">
    <w:name w:val="annotation text"/>
    <w:basedOn w:val="Normal"/>
    <w:link w:val="TextodecomentrioChar"/>
    <w:uiPriority w:val="99"/>
    <w:semiHidden/>
    <w:unhideWhenUsed/>
    <w:pPr>
      <w:spacing w:line="240" w:lineRule="auto"/>
    </w:pPr>
  </w:style>
  <w:style w:type="character" w:customStyle="1" w:styleId="TextodecomentrioChar">
    <w:name w:val="Texto de comentário Char"/>
    <w:basedOn w:val="Fontepargpadro"/>
    <w:link w:val="Textodecomentrio"/>
    <w:uiPriority w:val="99"/>
    <w:semiHidden/>
    <w:rPr>
      <w:rFonts w:asciiTheme="majorHAnsi" w:hAnsiTheme="majorHAnsi"/>
      <w:lang w:val="pt-BR" w:eastAsia="pt-BR"/>
    </w:rPr>
  </w:style>
  <w:style w:type="paragraph" w:customStyle="1" w:styleId="Default">
    <w:name w:val="Default"/>
    <w:rsid w:val="00476836"/>
    <w:pPr>
      <w:widowControl w:val="0"/>
      <w:autoSpaceDE w:val="0"/>
      <w:autoSpaceDN w:val="0"/>
      <w:adjustRightInd w:val="0"/>
    </w:pPr>
    <w:rPr>
      <w:rFonts w:ascii="Calibri" w:hAnsi="Calibri" w:cs="Calibri"/>
      <w:color w:val="000000"/>
    </w:rPr>
  </w:style>
  <w:style w:type="character" w:customStyle="1" w:styleId="Ttulo3Char">
    <w:name w:val="Título 3 Char"/>
    <w:basedOn w:val="Fontepargpadro"/>
    <w:link w:val="Ttulo3"/>
    <w:uiPriority w:val="9"/>
    <w:qFormat/>
    <w:rsid w:val="00386DD0"/>
    <w:rPr>
      <w:rFonts w:asciiTheme="majorHAnsi" w:eastAsiaTheme="majorEastAsia" w:hAnsiTheme="majorHAnsi" w:cstheme="majorBidi"/>
      <w:b/>
      <w:bCs/>
      <w:color w:val="7F7F7F" w:themeColor="text1" w:themeTint="80"/>
      <w:lang w:val="pt-BR" w:eastAsia="pt-BR"/>
    </w:rPr>
  </w:style>
  <w:style w:type="paragraph" w:styleId="NormalWeb">
    <w:name w:val="Normal (Web)"/>
    <w:basedOn w:val="Normal"/>
    <w:uiPriority w:val="99"/>
    <w:unhideWhenUsed/>
    <w:rsid w:val="008509C0"/>
    <w:pPr>
      <w:spacing w:before="100" w:beforeAutospacing="1" w:after="100" w:afterAutospacing="1" w:line="355" w:lineRule="exact"/>
      <w:ind w:firstLine="567"/>
    </w:pPr>
    <w:rPr>
      <w:rFonts w:ascii="Times" w:eastAsiaTheme="minorHAnsi" w:hAnsi="Times" w:cs="Times New Roman"/>
      <w:sz w:val="20"/>
      <w:szCs w:val="20"/>
      <w:lang w:val="en-US" w:eastAsia="en-US"/>
    </w:rPr>
  </w:style>
  <w:style w:type="paragraph" w:customStyle="1" w:styleId="Heading31">
    <w:name w:val="Heading 31"/>
    <w:basedOn w:val="Normal"/>
    <w:next w:val="Normal"/>
    <w:uiPriority w:val="9"/>
    <w:unhideWhenUsed/>
    <w:qFormat/>
    <w:rsid w:val="00CE3812"/>
    <w:pPr>
      <w:keepNext/>
      <w:keepLines/>
      <w:spacing w:before="200" w:after="0"/>
      <w:outlineLvl w:val="2"/>
    </w:pPr>
    <w:rPr>
      <w:rFonts w:eastAsiaTheme="majorEastAsia" w:cstheme="majorBidi"/>
      <w:b/>
      <w:bCs/>
      <w:color w:val="7F7F7F" w:themeColor="text1" w:themeTint="80"/>
    </w:rPr>
  </w:style>
  <w:style w:type="paragraph" w:customStyle="1" w:styleId="PargrafodaLista1">
    <w:name w:val="Parágrafo da Lista1"/>
    <w:basedOn w:val="Normal"/>
    <w:qFormat/>
    <w:rsid w:val="00CE3812"/>
    <w:pPr>
      <w:suppressAutoHyphens/>
      <w:spacing w:after="0"/>
    </w:pPr>
    <w:rPr>
      <w:rFonts w:ascii="Calibri" w:eastAsia="SimSun" w:hAnsi="Calibri" w:cs="Tahoma"/>
      <w:color w:val="00000A"/>
    </w:rPr>
  </w:style>
  <w:style w:type="paragraph" w:customStyle="1" w:styleId="Heading21">
    <w:name w:val="Heading 21"/>
    <w:basedOn w:val="Normal"/>
    <w:next w:val="Normal"/>
    <w:uiPriority w:val="9"/>
    <w:unhideWhenUsed/>
    <w:qFormat/>
    <w:rsid w:val="00CE3812"/>
    <w:pPr>
      <w:keepNext/>
      <w:keepLines/>
      <w:spacing w:before="200" w:after="0"/>
      <w:outlineLvl w:val="1"/>
    </w:pPr>
    <w:rPr>
      <w:rFonts w:eastAsiaTheme="majorEastAsia" w:cstheme="majorBidi"/>
      <w:b/>
      <w:bCs/>
      <w:smallCaps/>
      <w:color w:val="7F7F7F" w:themeColor="text1" w:themeTint="8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D42"/>
    <w:pPr>
      <w:spacing w:after="200" w:line="360" w:lineRule="auto"/>
      <w:jc w:val="both"/>
    </w:pPr>
    <w:rPr>
      <w:rFonts w:asciiTheme="majorHAnsi" w:hAnsiTheme="majorHAnsi"/>
      <w:lang w:val="pt-BR" w:eastAsia="pt-BR"/>
    </w:rPr>
  </w:style>
  <w:style w:type="paragraph" w:styleId="Ttulo1">
    <w:name w:val="heading 1"/>
    <w:basedOn w:val="Normal"/>
    <w:next w:val="Normal"/>
    <w:link w:val="Ttulo1Char"/>
    <w:uiPriority w:val="9"/>
    <w:qFormat/>
    <w:rsid w:val="00DA569B"/>
    <w:pPr>
      <w:keepNext/>
      <w:keepLines/>
      <w:spacing w:after="0"/>
      <w:outlineLvl w:val="0"/>
    </w:pPr>
    <w:rPr>
      <w:rFonts w:eastAsiaTheme="majorEastAsia" w:cstheme="majorBidi"/>
      <w:b/>
      <w:bCs/>
      <w:smallCaps/>
      <w:sz w:val="32"/>
      <w:szCs w:val="28"/>
    </w:rPr>
  </w:style>
  <w:style w:type="paragraph" w:styleId="Ttulo2">
    <w:name w:val="heading 2"/>
    <w:basedOn w:val="Normal"/>
    <w:next w:val="Normal"/>
    <w:link w:val="Ttulo2Char"/>
    <w:uiPriority w:val="9"/>
    <w:unhideWhenUsed/>
    <w:qFormat/>
    <w:rsid w:val="00386DD0"/>
    <w:pPr>
      <w:keepNext/>
      <w:keepLines/>
      <w:spacing w:before="200" w:after="0"/>
      <w:outlineLvl w:val="1"/>
    </w:pPr>
    <w:rPr>
      <w:rFonts w:eastAsiaTheme="majorEastAsia" w:cstheme="majorBidi"/>
      <w:b/>
      <w:bCs/>
      <w:smallCaps/>
      <w:color w:val="7F7F7F" w:themeColor="text1" w:themeTint="80"/>
      <w:sz w:val="26"/>
      <w:szCs w:val="26"/>
    </w:rPr>
  </w:style>
  <w:style w:type="paragraph" w:styleId="Ttulo3">
    <w:name w:val="heading 3"/>
    <w:basedOn w:val="Normal"/>
    <w:next w:val="Normal"/>
    <w:link w:val="Ttulo3Char"/>
    <w:uiPriority w:val="9"/>
    <w:unhideWhenUsed/>
    <w:qFormat/>
    <w:rsid w:val="00386DD0"/>
    <w:pPr>
      <w:keepNext/>
      <w:keepLines/>
      <w:spacing w:before="200" w:after="0"/>
      <w:outlineLvl w:val="2"/>
    </w:pPr>
    <w:rPr>
      <w:rFonts w:eastAsiaTheme="majorEastAsia" w:cstheme="majorBidi"/>
      <w:b/>
      <w:bCs/>
      <w:color w:val="7F7F7F" w:themeColor="text1" w:themeTint="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5561D"/>
    <w:pPr>
      <w:tabs>
        <w:tab w:val="center" w:pos="4320"/>
        <w:tab w:val="right" w:pos="8640"/>
      </w:tabs>
      <w:spacing w:after="0" w:line="240" w:lineRule="auto"/>
    </w:pPr>
  </w:style>
  <w:style w:type="character" w:customStyle="1" w:styleId="CabealhoChar">
    <w:name w:val="Cabeçalho Char"/>
    <w:basedOn w:val="Fontepargpadro"/>
    <w:link w:val="Cabealho"/>
    <w:uiPriority w:val="99"/>
    <w:rsid w:val="00A5561D"/>
    <w:rPr>
      <w:rFonts w:asciiTheme="minorHAnsi" w:hAnsiTheme="minorHAnsi"/>
      <w:sz w:val="22"/>
      <w:szCs w:val="22"/>
      <w:lang w:val="pt-BR" w:eastAsia="pt-BR"/>
    </w:rPr>
  </w:style>
  <w:style w:type="paragraph" w:styleId="Rodap">
    <w:name w:val="footer"/>
    <w:basedOn w:val="Normal"/>
    <w:link w:val="RodapChar"/>
    <w:uiPriority w:val="99"/>
    <w:unhideWhenUsed/>
    <w:rsid w:val="00A5561D"/>
    <w:pPr>
      <w:tabs>
        <w:tab w:val="center" w:pos="4320"/>
        <w:tab w:val="right" w:pos="8640"/>
      </w:tabs>
      <w:spacing w:after="0" w:line="240" w:lineRule="auto"/>
    </w:pPr>
  </w:style>
  <w:style w:type="character" w:customStyle="1" w:styleId="RodapChar">
    <w:name w:val="Rodapé Char"/>
    <w:basedOn w:val="Fontepargpadro"/>
    <w:link w:val="Rodap"/>
    <w:uiPriority w:val="99"/>
    <w:rsid w:val="00A5561D"/>
    <w:rPr>
      <w:rFonts w:asciiTheme="minorHAnsi" w:hAnsiTheme="minorHAnsi"/>
      <w:sz w:val="22"/>
      <w:szCs w:val="22"/>
      <w:lang w:val="pt-BR" w:eastAsia="pt-BR"/>
    </w:rPr>
  </w:style>
  <w:style w:type="paragraph" w:styleId="Textodebalo">
    <w:name w:val="Balloon Text"/>
    <w:basedOn w:val="Normal"/>
    <w:link w:val="TextodebaloChar"/>
    <w:uiPriority w:val="99"/>
    <w:semiHidden/>
    <w:unhideWhenUsed/>
    <w:rsid w:val="00A5561D"/>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A5561D"/>
    <w:rPr>
      <w:rFonts w:ascii="Lucida Grande" w:hAnsi="Lucida Grande" w:cs="Lucida Grande"/>
      <w:sz w:val="18"/>
      <w:szCs w:val="18"/>
      <w:lang w:val="pt-BR" w:eastAsia="pt-BR"/>
    </w:rPr>
  </w:style>
  <w:style w:type="character" w:styleId="Hyperlink">
    <w:name w:val="Hyperlink"/>
    <w:basedOn w:val="Fontepargpadro"/>
    <w:uiPriority w:val="99"/>
    <w:unhideWhenUsed/>
    <w:rsid w:val="000261EC"/>
    <w:rPr>
      <w:color w:val="0000FF" w:themeColor="hyperlink"/>
      <w:u w:val="single"/>
    </w:rPr>
  </w:style>
  <w:style w:type="character" w:customStyle="1" w:styleId="Ttulo1Char">
    <w:name w:val="Título 1 Char"/>
    <w:basedOn w:val="Fontepargpadro"/>
    <w:link w:val="Ttulo1"/>
    <w:uiPriority w:val="9"/>
    <w:rsid w:val="00DA569B"/>
    <w:rPr>
      <w:rFonts w:asciiTheme="majorHAnsi" w:eastAsiaTheme="majorEastAsia" w:hAnsiTheme="majorHAnsi" w:cstheme="majorBidi"/>
      <w:b/>
      <w:bCs/>
      <w:smallCaps/>
      <w:sz w:val="32"/>
      <w:szCs w:val="28"/>
      <w:lang w:val="pt-BR" w:eastAsia="pt-BR"/>
    </w:rPr>
  </w:style>
  <w:style w:type="character" w:styleId="HiperlinkVisitado">
    <w:name w:val="FollowedHyperlink"/>
    <w:basedOn w:val="Fontepargpadro"/>
    <w:uiPriority w:val="99"/>
    <w:semiHidden/>
    <w:unhideWhenUsed/>
    <w:rsid w:val="001E723F"/>
    <w:rPr>
      <w:color w:val="800080" w:themeColor="followedHyperlink"/>
      <w:u w:val="single"/>
    </w:rPr>
  </w:style>
  <w:style w:type="character" w:styleId="Nmerodepgina">
    <w:name w:val="page number"/>
    <w:basedOn w:val="Fontepargpadro"/>
    <w:uiPriority w:val="99"/>
    <w:semiHidden/>
    <w:unhideWhenUsed/>
    <w:rsid w:val="001E723F"/>
  </w:style>
  <w:style w:type="table" w:styleId="Tabelacomgrade">
    <w:name w:val="Table Grid"/>
    <w:basedOn w:val="Tabelanormal"/>
    <w:uiPriority w:val="59"/>
    <w:rsid w:val="000F05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har">
    <w:name w:val="Título 2 Char"/>
    <w:basedOn w:val="Fontepargpadro"/>
    <w:link w:val="Ttulo2"/>
    <w:uiPriority w:val="9"/>
    <w:qFormat/>
    <w:rsid w:val="00386DD0"/>
    <w:rPr>
      <w:rFonts w:asciiTheme="majorHAnsi" w:eastAsiaTheme="majorEastAsia" w:hAnsiTheme="majorHAnsi" w:cstheme="majorBidi"/>
      <w:b/>
      <w:bCs/>
      <w:smallCaps/>
      <w:color w:val="7F7F7F" w:themeColor="text1" w:themeTint="80"/>
      <w:sz w:val="26"/>
      <w:szCs w:val="26"/>
      <w:lang w:val="pt-BR" w:eastAsia="pt-BR"/>
    </w:rPr>
  </w:style>
  <w:style w:type="paragraph" w:styleId="Sumrio1">
    <w:name w:val="toc 1"/>
    <w:basedOn w:val="Normal"/>
    <w:next w:val="Normal"/>
    <w:autoRedefine/>
    <w:uiPriority w:val="39"/>
    <w:unhideWhenUsed/>
    <w:rsid w:val="009F5679"/>
    <w:pPr>
      <w:spacing w:before="120" w:after="0"/>
      <w:jc w:val="left"/>
    </w:pPr>
    <w:rPr>
      <w:rFonts w:asciiTheme="minorHAnsi" w:hAnsiTheme="minorHAnsi"/>
      <w:b/>
    </w:rPr>
  </w:style>
  <w:style w:type="paragraph" w:styleId="Sumrio2">
    <w:name w:val="toc 2"/>
    <w:basedOn w:val="Normal"/>
    <w:next w:val="Normal"/>
    <w:autoRedefine/>
    <w:uiPriority w:val="39"/>
    <w:unhideWhenUsed/>
    <w:rsid w:val="009F5679"/>
    <w:pPr>
      <w:spacing w:after="0"/>
      <w:ind w:left="240"/>
      <w:jc w:val="left"/>
    </w:pPr>
    <w:rPr>
      <w:rFonts w:asciiTheme="minorHAnsi" w:hAnsiTheme="minorHAnsi"/>
      <w:b/>
      <w:sz w:val="22"/>
      <w:szCs w:val="22"/>
    </w:rPr>
  </w:style>
  <w:style w:type="paragraph" w:styleId="Sumrio3">
    <w:name w:val="toc 3"/>
    <w:basedOn w:val="Normal"/>
    <w:next w:val="Normal"/>
    <w:autoRedefine/>
    <w:uiPriority w:val="39"/>
    <w:unhideWhenUsed/>
    <w:rsid w:val="009F5679"/>
    <w:pPr>
      <w:spacing w:after="0"/>
      <w:ind w:left="480"/>
      <w:jc w:val="left"/>
    </w:pPr>
    <w:rPr>
      <w:rFonts w:asciiTheme="minorHAnsi" w:hAnsiTheme="minorHAnsi"/>
      <w:sz w:val="22"/>
      <w:szCs w:val="22"/>
    </w:rPr>
  </w:style>
  <w:style w:type="paragraph" w:styleId="Sumrio4">
    <w:name w:val="toc 4"/>
    <w:basedOn w:val="Normal"/>
    <w:next w:val="Normal"/>
    <w:autoRedefine/>
    <w:uiPriority w:val="39"/>
    <w:unhideWhenUsed/>
    <w:rsid w:val="009F5679"/>
    <w:pPr>
      <w:spacing w:after="0"/>
      <w:ind w:left="720"/>
      <w:jc w:val="left"/>
    </w:pPr>
    <w:rPr>
      <w:rFonts w:asciiTheme="minorHAnsi" w:hAnsiTheme="minorHAnsi"/>
      <w:sz w:val="20"/>
      <w:szCs w:val="20"/>
    </w:rPr>
  </w:style>
  <w:style w:type="paragraph" w:styleId="Sumrio5">
    <w:name w:val="toc 5"/>
    <w:basedOn w:val="Normal"/>
    <w:next w:val="Normal"/>
    <w:autoRedefine/>
    <w:uiPriority w:val="39"/>
    <w:unhideWhenUsed/>
    <w:rsid w:val="009F5679"/>
    <w:pPr>
      <w:spacing w:after="0"/>
      <w:ind w:left="960"/>
      <w:jc w:val="left"/>
    </w:pPr>
    <w:rPr>
      <w:rFonts w:asciiTheme="minorHAnsi" w:hAnsiTheme="minorHAnsi"/>
      <w:sz w:val="20"/>
      <w:szCs w:val="20"/>
    </w:rPr>
  </w:style>
  <w:style w:type="paragraph" w:styleId="Sumrio6">
    <w:name w:val="toc 6"/>
    <w:basedOn w:val="Normal"/>
    <w:next w:val="Normal"/>
    <w:autoRedefine/>
    <w:uiPriority w:val="39"/>
    <w:unhideWhenUsed/>
    <w:rsid w:val="009F5679"/>
    <w:pPr>
      <w:spacing w:after="0"/>
      <w:ind w:left="1200"/>
      <w:jc w:val="left"/>
    </w:pPr>
    <w:rPr>
      <w:rFonts w:asciiTheme="minorHAnsi" w:hAnsiTheme="minorHAnsi"/>
      <w:sz w:val="20"/>
      <w:szCs w:val="20"/>
    </w:rPr>
  </w:style>
  <w:style w:type="paragraph" w:styleId="Sumrio7">
    <w:name w:val="toc 7"/>
    <w:basedOn w:val="Normal"/>
    <w:next w:val="Normal"/>
    <w:autoRedefine/>
    <w:uiPriority w:val="39"/>
    <w:unhideWhenUsed/>
    <w:rsid w:val="009F5679"/>
    <w:pPr>
      <w:spacing w:after="0"/>
      <w:ind w:left="1440"/>
      <w:jc w:val="left"/>
    </w:pPr>
    <w:rPr>
      <w:rFonts w:asciiTheme="minorHAnsi" w:hAnsiTheme="minorHAnsi"/>
      <w:sz w:val="20"/>
      <w:szCs w:val="20"/>
    </w:rPr>
  </w:style>
  <w:style w:type="paragraph" w:styleId="Sumrio8">
    <w:name w:val="toc 8"/>
    <w:basedOn w:val="Normal"/>
    <w:next w:val="Normal"/>
    <w:autoRedefine/>
    <w:uiPriority w:val="39"/>
    <w:unhideWhenUsed/>
    <w:rsid w:val="009F5679"/>
    <w:pPr>
      <w:spacing w:after="0"/>
      <w:ind w:left="1680"/>
      <w:jc w:val="left"/>
    </w:pPr>
    <w:rPr>
      <w:rFonts w:asciiTheme="minorHAnsi" w:hAnsiTheme="minorHAnsi"/>
      <w:sz w:val="20"/>
      <w:szCs w:val="20"/>
    </w:rPr>
  </w:style>
  <w:style w:type="paragraph" w:styleId="Sumrio9">
    <w:name w:val="toc 9"/>
    <w:basedOn w:val="Normal"/>
    <w:next w:val="Normal"/>
    <w:autoRedefine/>
    <w:uiPriority w:val="39"/>
    <w:unhideWhenUsed/>
    <w:rsid w:val="009F5679"/>
    <w:pPr>
      <w:spacing w:after="0"/>
      <w:ind w:left="1920"/>
      <w:jc w:val="left"/>
    </w:pPr>
    <w:rPr>
      <w:rFonts w:asciiTheme="minorHAnsi" w:hAnsiTheme="minorHAnsi"/>
      <w:sz w:val="20"/>
      <w:szCs w:val="20"/>
    </w:rPr>
  </w:style>
  <w:style w:type="paragraph" w:styleId="CabealhodoSumrio">
    <w:name w:val="TOC Heading"/>
    <w:basedOn w:val="Ttulo1"/>
    <w:next w:val="Normal"/>
    <w:uiPriority w:val="39"/>
    <w:unhideWhenUsed/>
    <w:qFormat/>
    <w:rsid w:val="00880550"/>
    <w:pPr>
      <w:outlineLvl w:val="9"/>
    </w:pPr>
    <w:rPr>
      <w:smallCaps w:val="0"/>
      <w:sz w:val="28"/>
      <w:lang w:val="en-US" w:eastAsia="en-US"/>
    </w:rPr>
  </w:style>
  <w:style w:type="character" w:styleId="TextodoEspaoReservado">
    <w:name w:val="Placeholder Text"/>
    <w:basedOn w:val="Fontepargpadro"/>
    <w:uiPriority w:val="99"/>
    <w:semiHidden/>
    <w:rsid w:val="00967BD8"/>
    <w:rPr>
      <w:color w:val="808080"/>
    </w:rPr>
  </w:style>
  <w:style w:type="paragraph" w:styleId="Citao">
    <w:name w:val="Quote"/>
    <w:basedOn w:val="Normal"/>
    <w:next w:val="Normal"/>
    <w:link w:val="CitaoChar"/>
    <w:uiPriority w:val="29"/>
    <w:qFormat/>
    <w:rsid w:val="00C32B9A"/>
    <w:pPr>
      <w:spacing w:after="0" w:line="240" w:lineRule="auto"/>
    </w:pPr>
    <w:rPr>
      <w:iCs/>
      <w:color w:val="000000" w:themeColor="text1"/>
      <w:sz w:val="16"/>
    </w:rPr>
  </w:style>
  <w:style w:type="character" w:customStyle="1" w:styleId="CitaoChar">
    <w:name w:val="Citação Char"/>
    <w:basedOn w:val="Fontepargpadro"/>
    <w:link w:val="Citao"/>
    <w:uiPriority w:val="29"/>
    <w:rsid w:val="00C32B9A"/>
    <w:rPr>
      <w:rFonts w:asciiTheme="majorHAnsi" w:hAnsiTheme="majorHAnsi"/>
      <w:iCs/>
      <w:color w:val="000000" w:themeColor="text1"/>
      <w:sz w:val="16"/>
      <w:szCs w:val="22"/>
      <w:lang w:val="pt-BR" w:eastAsia="pt-BR"/>
    </w:rPr>
  </w:style>
  <w:style w:type="paragraph" w:styleId="Ttulo">
    <w:name w:val="Title"/>
    <w:basedOn w:val="Normal"/>
    <w:next w:val="Normal"/>
    <w:link w:val="TtuloChar"/>
    <w:uiPriority w:val="10"/>
    <w:qFormat/>
    <w:rsid w:val="004C14E8"/>
    <w:pPr>
      <w:pBdr>
        <w:bottom w:val="single" w:sz="8" w:space="4" w:color="4F81BD" w:themeColor="accent1"/>
      </w:pBdr>
      <w:spacing w:after="0" w:line="240" w:lineRule="auto"/>
      <w:contextualSpacing/>
      <w:jc w:val="center"/>
    </w:pPr>
    <w:rPr>
      <w:rFonts w:eastAsiaTheme="majorEastAsia" w:cstheme="majorBidi"/>
      <w:b/>
      <w:smallCaps/>
      <w:color w:val="FFFFFF" w:themeColor="background1"/>
      <w:spacing w:val="5"/>
      <w:kern w:val="28"/>
      <w:sz w:val="52"/>
      <w:szCs w:val="52"/>
    </w:rPr>
  </w:style>
  <w:style w:type="character" w:customStyle="1" w:styleId="TtuloChar">
    <w:name w:val="Título Char"/>
    <w:basedOn w:val="Fontepargpadro"/>
    <w:link w:val="Ttulo"/>
    <w:uiPriority w:val="10"/>
    <w:rsid w:val="004C14E8"/>
    <w:rPr>
      <w:rFonts w:asciiTheme="majorHAnsi" w:eastAsiaTheme="majorEastAsia" w:hAnsiTheme="majorHAnsi" w:cstheme="majorBidi"/>
      <w:b/>
      <w:smallCaps/>
      <w:color w:val="FFFFFF" w:themeColor="background1"/>
      <w:spacing w:val="5"/>
      <w:kern w:val="28"/>
      <w:sz w:val="52"/>
      <w:szCs w:val="52"/>
      <w:lang w:val="pt-BR" w:eastAsia="pt-BR"/>
    </w:rPr>
  </w:style>
  <w:style w:type="paragraph" w:styleId="PargrafodaLista">
    <w:name w:val="List Paragraph"/>
    <w:basedOn w:val="Normal"/>
    <w:uiPriority w:val="34"/>
    <w:qFormat/>
    <w:rsid w:val="00355650"/>
    <w:pPr>
      <w:numPr>
        <w:numId w:val="4"/>
      </w:numPr>
      <w:spacing w:after="0"/>
    </w:pPr>
  </w:style>
  <w:style w:type="paragraph" w:styleId="SemEspaamento">
    <w:name w:val="No Spacing"/>
    <w:uiPriority w:val="1"/>
    <w:qFormat/>
    <w:rsid w:val="00207562"/>
    <w:pPr>
      <w:contextualSpacing/>
      <w:jc w:val="both"/>
    </w:pPr>
    <w:rPr>
      <w:rFonts w:asciiTheme="majorHAnsi" w:hAnsiTheme="majorHAnsi"/>
      <w:sz w:val="21"/>
      <w:lang w:val="pt-BR" w:eastAsia="pt-BR"/>
    </w:rPr>
  </w:style>
  <w:style w:type="table" w:customStyle="1" w:styleId="SombreamentoClaro-nfase11">
    <w:name w:val="Sombreamento Claro - Ênfase 11"/>
    <w:basedOn w:val="Tabelanormal"/>
    <w:uiPriority w:val="60"/>
    <w:rsid w:val="00C767C5"/>
    <w:rPr>
      <w:rFonts w:asciiTheme="minorHAnsi" w:hAnsiTheme="minorHAnsi"/>
      <w:color w:val="365F91" w:themeColor="accent1" w:themeShade="BF"/>
      <w:sz w:val="22"/>
      <w:szCs w:val="22"/>
      <w:lang w:val="pt-BR" w:eastAsia="pt-B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Refdecomentrio">
    <w:name w:val="annotation reference"/>
    <w:basedOn w:val="Fontepargpadro"/>
    <w:uiPriority w:val="99"/>
    <w:semiHidden/>
    <w:unhideWhenUsed/>
    <w:rsid w:val="00355650"/>
    <w:rPr>
      <w:sz w:val="16"/>
      <w:szCs w:val="16"/>
    </w:rPr>
  </w:style>
  <w:style w:type="paragraph" w:styleId="Textodecomentrio">
    <w:name w:val="annotation text"/>
    <w:basedOn w:val="Normal"/>
    <w:link w:val="TextodecomentrioChar"/>
    <w:uiPriority w:val="99"/>
    <w:semiHidden/>
    <w:unhideWhenUsed/>
    <w:pPr>
      <w:spacing w:line="240" w:lineRule="auto"/>
    </w:pPr>
  </w:style>
  <w:style w:type="character" w:customStyle="1" w:styleId="TextodecomentrioChar">
    <w:name w:val="Texto de comentário Char"/>
    <w:basedOn w:val="Fontepargpadro"/>
    <w:link w:val="Textodecomentrio"/>
    <w:uiPriority w:val="99"/>
    <w:semiHidden/>
    <w:rPr>
      <w:rFonts w:asciiTheme="majorHAnsi" w:hAnsiTheme="majorHAnsi"/>
      <w:lang w:val="pt-BR" w:eastAsia="pt-BR"/>
    </w:rPr>
  </w:style>
  <w:style w:type="paragraph" w:customStyle="1" w:styleId="Default">
    <w:name w:val="Default"/>
    <w:rsid w:val="00476836"/>
    <w:pPr>
      <w:widowControl w:val="0"/>
      <w:autoSpaceDE w:val="0"/>
      <w:autoSpaceDN w:val="0"/>
      <w:adjustRightInd w:val="0"/>
    </w:pPr>
    <w:rPr>
      <w:rFonts w:ascii="Calibri" w:hAnsi="Calibri" w:cs="Calibri"/>
      <w:color w:val="000000"/>
    </w:rPr>
  </w:style>
  <w:style w:type="character" w:customStyle="1" w:styleId="Ttulo3Char">
    <w:name w:val="Título 3 Char"/>
    <w:basedOn w:val="Fontepargpadro"/>
    <w:link w:val="Ttulo3"/>
    <w:uiPriority w:val="9"/>
    <w:qFormat/>
    <w:rsid w:val="00386DD0"/>
    <w:rPr>
      <w:rFonts w:asciiTheme="majorHAnsi" w:eastAsiaTheme="majorEastAsia" w:hAnsiTheme="majorHAnsi" w:cstheme="majorBidi"/>
      <w:b/>
      <w:bCs/>
      <w:color w:val="7F7F7F" w:themeColor="text1" w:themeTint="80"/>
      <w:lang w:val="pt-BR" w:eastAsia="pt-BR"/>
    </w:rPr>
  </w:style>
  <w:style w:type="paragraph" w:styleId="NormalWeb">
    <w:name w:val="Normal (Web)"/>
    <w:basedOn w:val="Normal"/>
    <w:uiPriority w:val="99"/>
    <w:unhideWhenUsed/>
    <w:rsid w:val="008509C0"/>
    <w:pPr>
      <w:spacing w:before="100" w:beforeAutospacing="1" w:after="100" w:afterAutospacing="1" w:line="355" w:lineRule="exact"/>
      <w:ind w:firstLine="567"/>
    </w:pPr>
    <w:rPr>
      <w:rFonts w:ascii="Times" w:eastAsiaTheme="minorHAnsi" w:hAnsi="Times" w:cs="Times New Roman"/>
      <w:sz w:val="20"/>
      <w:szCs w:val="20"/>
      <w:lang w:val="en-US" w:eastAsia="en-US"/>
    </w:rPr>
  </w:style>
  <w:style w:type="paragraph" w:customStyle="1" w:styleId="Heading31">
    <w:name w:val="Heading 31"/>
    <w:basedOn w:val="Normal"/>
    <w:next w:val="Normal"/>
    <w:uiPriority w:val="9"/>
    <w:unhideWhenUsed/>
    <w:qFormat/>
    <w:rsid w:val="00CE3812"/>
    <w:pPr>
      <w:keepNext/>
      <w:keepLines/>
      <w:spacing w:before="200" w:after="0"/>
      <w:outlineLvl w:val="2"/>
    </w:pPr>
    <w:rPr>
      <w:rFonts w:eastAsiaTheme="majorEastAsia" w:cstheme="majorBidi"/>
      <w:b/>
      <w:bCs/>
      <w:color w:val="7F7F7F" w:themeColor="text1" w:themeTint="80"/>
    </w:rPr>
  </w:style>
  <w:style w:type="paragraph" w:customStyle="1" w:styleId="PargrafodaLista1">
    <w:name w:val="Parágrafo da Lista1"/>
    <w:basedOn w:val="Normal"/>
    <w:qFormat/>
    <w:rsid w:val="00CE3812"/>
    <w:pPr>
      <w:suppressAutoHyphens/>
      <w:spacing w:after="0"/>
    </w:pPr>
    <w:rPr>
      <w:rFonts w:ascii="Calibri" w:eastAsia="SimSun" w:hAnsi="Calibri" w:cs="Tahoma"/>
      <w:color w:val="00000A"/>
    </w:rPr>
  </w:style>
  <w:style w:type="paragraph" w:customStyle="1" w:styleId="Heading21">
    <w:name w:val="Heading 21"/>
    <w:basedOn w:val="Normal"/>
    <w:next w:val="Normal"/>
    <w:uiPriority w:val="9"/>
    <w:unhideWhenUsed/>
    <w:qFormat/>
    <w:rsid w:val="00CE3812"/>
    <w:pPr>
      <w:keepNext/>
      <w:keepLines/>
      <w:spacing w:before="200" w:after="0"/>
      <w:outlineLvl w:val="1"/>
    </w:pPr>
    <w:rPr>
      <w:rFonts w:eastAsiaTheme="majorEastAsia" w:cstheme="majorBidi"/>
      <w:b/>
      <w:bCs/>
      <w:smallCaps/>
      <w:color w:val="7F7F7F" w:themeColor="text1" w:themeTint="8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639">
      <w:bodyDiv w:val="1"/>
      <w:marLeft w:val="0"/>
      <w:marRight w:val="0"/>
      <w:marTop w:val="0"/>
      <w:marBottom w:val="0"/>
      <w:divBdr>
        <w:top w:val="none" w:sz="0" w:space="0" w:color="auto"/>
        <w:left w:val="none" w:sz="0" w:space="0" w:color="auto"/>
        <w:bottom w:val="none" w:sz="0" w:space="0" w:color="auto"/>
        <w:right w:val="none" w:sz="0" w:space="0" w:color="auto"/>
      </w:divBdr>
    </w:div>
    <w:div w:id="47387165">
      <w:bodyDiv w:val="1"/>
      <w:marLeft w:val="0"/>
      <w:marRight w:val="0"/>
      <w:marTop w:val="0"/>
      <w:marBottom w:val="0"/>
      <w:divBdr>
        <w:top w:val="none" w:sz="0" w:space="0" w:color="auto"/>
        <w:left w:val="none" w:sz="0" w:space="0" w:color="auto"/>
        <w:bottom w:val="none" w:sz="0" w:space="0" w:color="auto"/>
        <w:right w:val="none" w:sz="0" w:space="0" w:color="auto"/>
      </w:divBdr>
    </w:div>
    <w:div w:id="93668212">
      <w:bodyDiv w:val="1"/>
      <w:marLeft w:val="0"/>
      <w:marRight w:val="0"/>
      <w:marTop w:val="0"/>
      <w:marBottom w:val="0"/>
      <w:divBdr>
        <w:top w:val="none" w:sz="0" w:space="0" w:color="auto"/>
        <w:left w:val="none" w:sz="0" w:space="0" w:color="auto"/>
        <w:bottom w:val="none" w:sz="0" w:space="0" w:color="auto"/>
        <w:right w:val="none" w:sz="0" w:space="0" w:color="auto"/>
      </w:divBdr>
    </w:div>
    <w:div w:id="98181420">
      <w:bodyDiv w:val="1"/>
      <w:marLeft w:val="0"/>
      <w:marRight w:val="0"/>
      <w:marTop w:val="0"/>
      <w:marBottom w:val="0"/>
      <w:divBdr>
        <w:top w:val="none" w:sz="0" w:space="0" w:color="auto"/>
        <w:left w:val="none" w:sz="0" w:space="0" w:color="auto"/>
        <w:bottom w:val="none" w:sz="0" w:space="0" w:color="auto"/>
        <w:right w:val="none" w:sz="0" w:space="0" w:color="auto"/>
      </w:divBdr>
      <w:divsChild>
        <w:div w:id="53281782">
          <w:marLeft w:val="547"/>
          <w:marRight w:val="0"/>
          <w:marTop w:val="0"/>
          <w:marBottom w:val="0"/>
          <w:divBdr>
            <w:top w:val="none" w:sz="0" w:space="0" w:color="auto"/>
            <w:left w:val="none" w:sz="0" w:space="0" w:color="auto"/>
            <w:bottom w:val="none" w:sz="0" w:space="0" w:color="auto"/>
            <w:right w:val="none" w:sz="0" w:space="0" w:color="auto"/>
          </w:divBdr>
        </w:div>
      </w:divsChild>
    </w:div>
    <w:div w:id="113983328">
      <w:bodyDiv w:val="1"/>
      <w:marLeft w:val="0"/>
      <w:marRight w:val="0"/>
      <w:marTop w:val="0"/>
      <w:marBottom w:val="0"/>
      <w:divBdr>
        <w:top w:val="none" w:sz="0" w:space="0" w:color="auto"/>
        <w:left w:val="none" w:sz="0" w:space="0" w:color="auto"/>
        <w:bottom w:val="none" w:sz="0" w:space="0" w:color="auto"/>
        <w:right w:val="none" w:sz="0" w:space="0" w:color="auto"/>
      </w:divBdr>
    </w:div>
    <w:div w:id="182518547">
      <w:bodyDiv w:val="1"/>
      <w:marLeft w:val="0"/>
      <w:marRight w:val="0"/>
      <w:marTop w:val="0"/>
      <w:marBottom w:val="0"/>
      <w:divBdr>
        <w:top w:val="none" w:sz="0" w:space="0" w:color="auto"/>
        <w:left w:val="none" w:sz="0" w:space="0" w:color="auto"/>
        <w:bottom w:val="none" w:sz="0" w:space="0" w:color="auto"/>
        <w:right w:val="none" w:sz="0" w:space="0" w:color="auto"/>
      </w:divBdr>
    </w:div>
    <w:div w:id="240409183">
      <w:bodyDiv w:val="1"/>
      <w:marLeft w:val="0"/>
      <w:marRight w:val="0"/>
      <w:marTop w:val="0"/>
      <w:marBottom w:val="0"/>
      <w:divBdr>
        <w:top w:val="none" w:sz="0" w:space="0" w:color="auto"/>
        <w:left w:val="none" w:sz="0" w:space="0" w:color="auto"/>
        <w:bottom w:val="none" w:sz="0" w:space="0" w:color="auto"/>
        <w:right w:val="none" w:sz="0" w:space="0" w:color="auto"/>
      </w:divBdr>
    </w:div>
    <w:div w:id="311104114">
      <w:bodyDiv w:val="1"/>
      <w:marLeft w:val="0"/>
      <w:marRight w:val="0"/>
      <w:marTop w:val="0"/>
      <w:marBottom w:val="0"/>
      <w:divBdr>
        <w:top w:val="none" w:sz="0" w:space="0" w:color="auto"/>
        <w:left w:val="none" w:sz="0" w:space="0" w:color="auto"/>
        <w:bottom w:val="none" w:sz="0" w:space="0" w:color="auto"/>
        <w:right w:val="none" w:sz="0" w:space="0" w:color="auto"/>
      </w:divBdr>
    </w:div>
    <w:div w:id="325518546">
      <w:bodyDiv w:val="1"/>
      <w:marLeft w:val="0"/>
      <w:marRight w:val="0"/>
      <w:marTop w:val="0"/>
      <w:marBottom w:val="0"/>
      <w:divBdr>
        <w:top w:val="none" w:sz="0" w:space="0" w:color="auto"/>
        <w:left w:val="none" w:sz="0" w:space="0" w:color="auto"/>
        <w:bottom w:val="none" w:sz="0" w:space="0" w:color="auto"/>
        <w:right w:val="none" w:sz="0" w:space="0" w:color="auto"/>
      </w:divBdr>
      <w:divsChild>
        <w:div w:id="677120429">
          <w:marLeft w:val="0"/>
          <w:marRight w:val="0"/>
          <w:marTop w:val="0"/>
          <w:marBottom w:val="0"/>
          <w:divBdr>
            <w:top w:val="none" w:sz="0" w:space="0" w:color="auto"/>
            <w:left w:val="none" w:sz="0" w:space="0" w:color="auto"/>
            <w:bottom w:val="none" w:sz="0" w:space="0" w:color="auto"/>
            <w:right w:val="none" w:sz="0" w:space="0" w:color="auto"/>
          </w:divBdr>
        </w:div>
      </w:divsChild>
    </w:div>
    <w:div w:id="418334914">
      <w:bodyDiv w:val="1"/>
      <w:marLeft w:val="0"/>
      <w:marRight w:val="0"/>
      <w:marTop w:val="0"/>
      <w:marBottom w:val="0"/>
      <w:divBdr>
        <w:top w:val="none" w:sz="0" w:space="0" w:color="auto"/>
        <w:left w:val="none" w:sz="0" w:space="0" w:color="auto"/>
        <w:bottom w:val="none" w:sz="0" w:space="0" w:color="auto"/>
        <w:right w:val="none" w:sz="0" w:space="0" w:color="auto"/>
      </w:divBdr>
    </w:div>
    <w:div w:id="427696899">
      <w:bodyDiv w:val="1"/>
      <w:marLeft w:val="0"/>
      <w:marRight w:val="0"/>
      <w:marTop w:val="0"/>
      <w:marBottom w:val="0"/>
      <w:divBdr>
        <w:top w:val="none" w:sz="0" w:space="0" w:color="auto"/>
        <w:left w:val="none" w:sz="0" w:space="0" w:color="auto"/>
        <w:bottom w:val="none" w:sz="0" w:space="0" w:color="auto"/>
        <w:right w:val="none" w:sz="0" w:space="0" w:color="auto"/>
      </w:divBdr>
    </w:div>
    <w:div w:id="431709890">
      <w:bodyDiv w:val="1"/>
      <w:marLeft w:val="0"/>
      <w:marRight w:val="0"/>
      <w:marTop w:val="0"/>
      <w:marBottom w:val="0"/>
      <w:divBdr>
        <w:top w:val="none" w:sz="0" w:space="0" w:color="auto"/>
        <w:left w:val="none" w:sz="0" w:space="0" w:color="auto"/>
        <w:bottom w:val="none" w:sz="0" w:space="0" w:color="auto"/>
        <w:right w:val="none" w:sz="0" w:space="0" w:color="auto"/>
      </w:divBdr>
    </w:div>
    <w:div w:id="459540402">
      <w:bodyDiv w:val="1"/>
      <w:marLeft w:val="0"/>
      <w:marRight w:val="0"/>
      <w:marTop w:val="0"/>
      <w:marBottom w:val="0"/>
      <w:divBdr>
        <w:top w:val="none" w:sz="0" w:space="0" w:color="auto"/>
        <w:left w:val="none" w:sz="0" w:space="0" w:color="auto"/>
        <w:bottom w:val="none" w:sz="0" w:space="0" w:color="auto"/>
        <w:right w:val="none" w:sz="0" w:space="0" w:color="auto"/>
      </w:divBdr>
      <w:divsChild>
        <w:div w:id="1962104563">
          <w:marLeft w:val="446"/>
          <w:marRight w:val="0"/>
          <w:marTop w:val="0"/>
          <w:marBottom w:val="0"/>
          <w:divBdr>
            <w:top w:val="none" w:sz="0" w:space="0" w:color="auto"/>
            <w:left w:val="none" w:sz="0" w:space="0" w:color="auto"/>
            <w:bottom w:val="none" w:sz="0" w:space="0" w:color="auto"/>
            <w:right w:val="none" w:sz="0" w:space="0" w:color="auto"/>
          </w:divBdr>
        </w:div>
        <w:div w:id="236020014">
          <w:marLeft w:val="446"/>
          <w:marRight w:val="0"/>
          <w:marTop w:val="0"/>
          <w:marBottom w:val="0"/>
          <w:divBdr>
            <w:top w:val="none" w:sz="0" w:space="0" w:color="auto"/>
            <w:left w:val="none" w:sz="0" w:space="0" w:color="auto"/>
            <w:bottom w:val="none" w:sz="0" w:space="0" w:color="auto"/>
            <w:right w:val="none" w:sz="0" w:space="0" w:color="auto"/>
          </w:divBdr>
        </w:div>
        <w:div w:id="543640008">
          <w:marLeft w:val="446"/>
          <w:marRight w:val="0"/>
          <w:marTop w:val="0"/>
          <w:marBottom w:val="0"/>
          <w:divBdr>
            <w:top w:val="none" w:sz="0" w:space="0" w:color="auto"/>
            <w:left w:val="none" w:sz="0" w:space="0" w:color="auto"/>
            <w:bottom w:val="none" w:sz="0" w:space="0" w:color="auto"/>
            <w:right w:val="none" w:sz="0" w:space="0" w:color="auto"/>
          </w:divBdr>
        </w:div>
        <w:div w:id="859975037">
          <w:marLeft w:val="446"/>
          <w:marRight w:val="0"/>
          <w:marTop w:val="0"/>
          <w:marBottom w:val="0"/>
          <w:divBdr>
            <w:top w:val="none" w:sz="0" w:space="0" w:color="auto"/>
            <w:left w:val="none" w:sz="0" w:space="0" w:color="auto"/>
            <w:bottom w:val="none" w:sz="0" w:space="0" w:color="auto"/>
            <w:right w:val="none" w:sz="0" w:space="0" w:color="auto"/>
          </w:divBdr>
        </w:div>
        <w:div w:id="602956234">
          <w:marLeft w:val="446"/>
          <w:marRight w:val="0"/>
          <w:marTop w:val="0"/>
          <w:marBottom w:val="0"/>
          <w:divBdr>
            <w:top w:val="none" w:sz="0" w:space="0" w:color="auto"/>
            <w:left w:val="none" w:sz="0" w:space="0" w:color="auto"/>
            <w:bottom w:val="none" w:sz="0" w:space="0" w:color="auto"/>
            <w:right w:val="none" w:sz="0" w:space="0" w:color="auto"/>
          </w:divBdr>
        </w:div>
        <w:div w:id="1001734616">
          <w:marLeft w:val="446"/>
          <w:marRight w:val="0"/>
          <w:marTop w:val="0"/>
          <w:marBottom w:val="0"/>
          <w:divBdr>
            <w:top w:val="none" w:sz="0" w:space="0" w:color="auto"/>
            <w:left w:val="none" w:sz="0" w:space="0" w:color="auto"/>
            <w:bottom w:val="none" w:sz="0" w:space="0" w:color="auto"/>
            <w:right w:val="none" w:sz="0" w:space="0" w:color="auto"/>
          </w:divBdr>
        </w:div>
      </w:divsChild>
    </w:div>
    <w:div w:id="464085438">
      <w:bodyDiv w:val="1"/>
      <w:marLeft w:val="0"/>
      <w:marRight w:val="0"/>
      <w:marTop w:val="0"/>
      <w:marBottom w:val="0"/>
      <w:divBdr>
        <w:top w:val="none" w:sz="0" w:space="0" w:color="auto"/>
        <w:left w:val="none" w:sz="0" w:space="0" w:color="auto"/>
        <w:bottom w:val="none" w:sz="0" w:space="0" w:color="auto"/>
        <w:right w:val="none" w:sz="0" w:space="0" w:color="auto"/>
      </w:divBdr>
      <w:divsChild>
        <w:div w:id="1373385889">
          <w:marLeft w:val="0"/>
          <w:marRight w:val="0"/>
          <w:marTop w:val="0"/>
          <w:marBottom w:val="0"/>
          <w:divBdr>
            <w:top w:val="none" w:sz="0" w:space="0" w:color="auto"/>
            <w:left w:val="none" w:sz="0" w:space="0" w:color="auto"/>
            <w:bottom w:val="none" w:sz="0" w:space="0" w:color="auto"/>
            <w:right w:val="none" w:sz="0" w:space="0" w:color="auto"/>
          </w:divBdr>
        </w:div>
      </w:divsChild>
    </w:div>
    <w:div w:id="568078607">
      <w:bodyDiv w:val="1"/>
      <w:marLeft w:val="0"/>
      <w:marRight w:val="0"/>
      <w:marTop w:val="0"/>
      <w:marBottom w:val="0"/>
      <w:divBdr>
        <w:top w:val="none" w:sz="0" w:space="0" w:color="auto"/>
        <w:left w:val="none" w:sz="0" w:space="0" w:color="auto"/>
        <w:bottom w:val="none" w:sz="0" w:space="0" w:color="auto"/>
        <w:right w:val="none" w:sz="0" w:space="0" w:color="auto"/>
      </w:divBdr>
    </w:div>
    <w:div w:id="631374685">
      <w:bodyDiv w:val="1"/>
      <w:marLeft w:val="0"/>
      <w:marRight w:val="0"/>
      <w:marTop w:val="0"/>
      <w:marBottom w:val="0"/>
      <w:divBdr>
        <w:top w:val="none" w:sz="0" w:space="0" w:color="auto"/>
        <w:left w:val="none" w:sz="0" w:space="0" w:color="auto"/>
        <w:bottom w:val="none" w:sz="0" w:space="0" w:color="auto"/>
        <w:right w:val="none" w:sz="0" w:space="0" w:color="auto"/>
      </w:divBdr>
    </w:div>
    <w:div w:id="653145518">
      <w:bodyDiv w:val="1"/>
      <w:marLeft w:val="0"/>
      <w:marRight w:val="0"/>
      <w:marTop w:val="0"/>
      <w:marBottom w:val="0"/>
      <w:divBdr>
        <w:top w:val="none" w:sz="0" w:space="0" w:color="auto"/>
        <w:left w:val="none" w:sz="0" w:space="0" w:color="auto"/>
        <w:bottom w:val="none" w:sz="0" w:space="0" w:color="auto"/>
        <w:right w:val="none" w:sz="0" w:space="0" w:color="auto"/>
      </w:divBdr>
    </w:div>
    <w:div w:id="657996020">
      <w:bodyDiv w:val="1"/>
      <w:marLeft w:val="0"/>
      <w:marRight w:val="0"/>
      <w:marTop w:val="0"/>
      <w:marBottom w:val="0"/>
      <w:divBdr>
        <w:top w:val="none" w:sz="0" w:space="0" w:color="auto"/>
        <w:left w:val="none" w:sz="0" w:space="0" w:color="auto"/>
        <w:bottom w:val="none" w:sz="0" w:space="0" w:color="auto"/>
        <w:right w:val="none" w:sz="0" w:space="0" w:color="auto"/>
      </w:divBdr>
    </w:div>
    <w:div w:id="680401155">
      <w:bodyDiv w:val="1"/>
      <w:marLeft w:val="0"/>
      <w:marRight w:val="0"/>
      <w:marTop w:val="0"/>
      <w:marBottom w:val="0"/>
      <w:divBdr>
        <w:top w:val="none" w:sz="0" w:space="0" w:color="auto"/>
        <w:left w:val="none" w:sz="0" w:space="0" w:color="auto"/>
        <w:bottom w:val="none" w:sz="0" w:space="0" w:color="auto"/>
        <w:right w:val="none" w:sz="0" w:space="0" w:color="auto"/>
      </w:divBdr>
    </w:div>
    <w:div w:id="688600898">
      <w:bodyDiv w:val="1"/>
      <w:marLeft w:val="0"/>
      <w:marRight w:val="0"/>
      <w:marTop w:val="0"/>
      <w:marBottom w:val="0"/>
      <w:divBdr>
        <w:top w:val="none" w:sz="0" w:space="0" w:color="auto"/>
        <w:left w:val="none" w:sz="0" w:space="0" w:color="auto"/>
        <w:bottom w:val="none" w:sz="0" w:space="0" w:color="auto"/>
        <w:right w:val="none" w:sz="0" w:space="0" w:color="auto"/>
      </w:divBdr>
    </w:div>
    <w:div w:id="701323518">
      <w:bodyDiv w:val="1"/>
      <w:marLeft w:val="0"/>
      <w:marRight w:val="0"/>
      <w:marTop w:val="0"/>
      <w:marBottom w:val="0"/>
      <w:divBdr>
        <w:top w:val="none" w:sz="0" w:space="0" w:color="auto"/>
        <w:left w:val="none" w:sz="0" w:space="0" w:color="auto"/>
        <w:bottom w:val="none" w:sz="0" w:space="0" w:color="auto"/>
        <w:right w:val="none" w:sz="0" w:space="0" w:color="auto"/>
      </w:divBdr>
    </w:div>
    <w:div w:id="727000892">
      <w:bodyDiv w:val="1"/>
      <w:marLeft w:val="0"/>
      <w:marRight w:val="0"/>
      <w:marTop w:val="0"/>
      <w:marBottom w:val="0"/>
      <w:divBdr>
        <w:top w:val="none" w:sz="0" w:space="0" w:color="auto"/>
        <w:left w:val="none" w:sz="0" w:space="0" w:color="auto"/>
        <w:bottom w:val="none" w:sz="0" w:space="0" w:color="auto"/>
        <w:right w:val="none" w:sz="0" w:space="0" w:color="auto"/>
      </w:divBdr>
    </w:div>
    <w:div w:id="828709958">
      <w:bodyDiv w:val="1"/>
      <w:marLeft w:val="0"/>
      <w:marRight w:val="0"/>
      <w:marTop w:val="0"/>
      <w:marBottom w:val="0"/>
      <w:divBdr>
        <w:top w:val="none" w:sz="0" w:space="0" w:color="auto"/>
        <w:left w:val="none" w:sz="0" w:space="0" w:color="auto"/>
        <w:bottom w:val="none" w:sz="0" w:space="0" w:color="auto"/>
        <w:right w:val="none" w:sz="0" w:space="0" w:color="auto"/>
      </w:divBdr>
      <w:divsChild>
        <w:div w:id="1878471595">
          <w:marLeft w:val="0"/>
          <w:marRight w:val="0"/>
          <w:marTop w:val="0"/>
          <w:marBottom w:val="0"/>
          <w:divBdr>
            <w:top w:val="none" w:sz="0" w:space="0" w:color="auto"/>
            <w:left w:val="none" w:sz="0" w:space="0" w:color="auto"/>
            <w:bottom w:val="none" w:sz="0" w:space="0" w:color="auto"/>
            <w:right w:val="none" w:sz="0" w:space="0" w:color="auto"/>
          </w:divBdr>
        </w:div>
        <w:div w:id="1039431871">
          <w:marLeft w:val="0"/>
          <w:marRight w:val="0"/>
          <w:marTop w:val="0"/>
          <w:marBottom w:val="0"/>
          <w:divBdr>
            <w:top w:val="none" w:sz="0" w:space="0" w:color="auto"/>
            <w:left w:val="none" w:sz="0" w:space="0" w:color="auto"/>
            <w:bottom w:val="none" w:sz="0" w:space="0" w:color="auto"/>
            <w:right w:val="none" w:sz="0" w:space="0" w:color="auto"/>
          </w:divBdr>
        </w:div>
        <w:div w:id="1425300802">
          <w:marLeft w:val="0"/>
          <w:marRight w:val="0"/>
          <w:marTop w:val="0"/>
          <w:marBottom w:val="0"/>
          <w:divBdr>
            <w:top w:val="none" w:sz="0" w:space="0" w:color="auto"/>
            <w:left w:val="none" w:sz="0" w:space="0" w:color="auto"/>
            <w:bottom w:val="none" w:sz="0" w:space="0" w:color="auto"/>
            <w:right w:val="none" w:sz="0" w:space="0" w:color="auto"/>
          </w:divBdr>
        </w:div>
      </w:divsChild>
    </w:div>
    <w:div w:id="847057986">
      <w:bodyDiv w:val="1"/>
      <w:marLeft w:val="0"/>
      <w:marRight w:val="0"/>
      <w:marTop w:val="0"/>
      <w:marBottom w:val="0"/>
      <w:divBdr>
        <w:top w:val="none" w:sz="0" w:space="0" w:color="auto"/>
        <w:left w:val="none" w:sz="0" w:space="0" w:color="auto"/>
        <w:bottom w:val="none" w:sz="0" w:space="0" w:color="auto"/>
        <w:right w:val="none" w:sz="0" w:space="0" w:color="auto"/>
      </w:divBdr>
    </w:div>
    <w:div w:id="853494708">
      <w:bodyDiv w:val="1"/>
      <w:marLeft w:val="0"/>
      <w:marRight w:val="0"/>
      <w:marTop w:val="0"/>
      <w:marBottom w:val="0"/>
      <w:divBdr>
        <w:top w:val="none" w:sz="0" w:space="0" w:color="auto"/>
        <w:left w:val="none" w:sz="0" w:space="0" w:color="auto"/>
        <w:bottom w:val="none" w:sz="0" w:space="0" w:color="auto"/>
        <w:right w:val="none" w:sz="0" w:space="0" w:color="auto"/>
      </w:divBdr>
    </w:div>
    <w:div w:id="869807558">
      <w:bodyDiv w:val="1"/>
      <w:marLeft w:val="0"/>
      <w:marRight w:val="0"/>
      <w:marTop w:val="0"/>
      <w:marBottom w:val="0"/>
      <w:divBdr>
        <w:top w:val="none" w:sz="0" w:space="0" w:color="auto"/>
        <w:left w:val="none" w:sz="0" w:space="0" w:color="auto"/>
        <w:bottom w:val="none" w:sz="0" w:space="0" w:color="auto"/>
        <w:right w:val="none" w:sz="0" w:space="0" w:color="auto"/>
      </w:divBdr>
    </w:div>
    <w:div w:id="896015597">
      <w:bodyDiv w:val="1"/>
      <w:marLeft w:val="0"/>
      <w:marRight w:val="0"/>
      <w:marTop w:val="0"/>
      <w:marBottom w:val="0"/>
      <w:divBdr>
        <w:top w:val="none" w:sz="0" w:space="0" w:color="auto"/>
        <w:left w:val="none" w:sz="0" w:space="0" w:color="auto"/>
        <w:bottom w:val="none" w:sz="0" w:space="0" w:color="auto"/>
        <w:right w:val="none" w:sz="0" w:space="0" w:color="auto"/>
      </w:divBdr>
    </w:div>
    <w:div w:id="921257950">
      <w:bodyDiv w:val="1"/>
      <w:marLeft w:val="0"/>
      <w:marRight w:val="0"/>
      <w:marTop w:val="0"/>
      <w:marBottom w:val="0"/>
      <w:divBdr>
        <w:top w:val="none" w:sz="0" w:space="0" w:color="auto"/>
        <w:left w:val="none" w:sz="0" w:space="0" w:color="auto"/>
        <w:bottom w:val="none" w:sz="0" w:space="0" w:color="auto"/>
        <w:right w:val="none" w:sz="0" w:space="0" w:color="auto"/>
      </w:divBdr>
    </w:div>
    <w:div w:id="939067552">
      <w:bodyDiv w:val="1"/>
      <w:marLeft w:val="0"/>
      <w:marRight w:val="0"/>
      <w:marTop w:val="0"/>
      <w:marBottom w:val="0"/>
      <w:divBdr>
        <w:top w:val="none" w:sz="0" w:space="0" w:color="auto"/>
        <w:left w:val="none" w:sz="0" w:space="0" w:color="auto"/>
        <w:bottom w:val="none" w:sz="0" w:space="0" w:color="auto"/>
        <w:right w:val="none" w:sz="0" w:space="0" w:color="auto"/>
      </w:divBdr>
    </w:div>
    <w:div w:id="956181197">
      <w:bodyDiv w:val="1"/>
      <w:marLeft w:val="0"/>
      <w:marRight w:val="0"/>
      <w:marTop w:val="0"/>
      <w:marBottom w:val="0"/>
      <w:divBdr>
        <w:top w:val="none" w:sz="0" w:space="0" w:color="auto"/>
        <w:left w:val="none" w:sz="0" w:space="0" w:color="auto"/>
        <w:bottom w:val="none" w:sz="0" w:space="0" w:color="auto"/>
        <w:right w:val="none" w:sz="0" w:space="0" w:color="auto"/>
      </w:divBdr>
    </w:div>
    <w:div w:id="977682337">
      <w:marLeft w:val="0"/>
      <w:marRight w:val="0"/>
      <w:marTop w:val="0"/>
      <w:marBottom w:val="0"/>
      <w:divBdr>
        <w:top w:val="none" w:sz="0" w:space="0" w:color="auto"/>
        <w:left w:val="none" w:sz="0" w:space="0" w:color="auto"/>
        <w:bottom w:val="none" w:sz="0" w:space="0" w:color="auto"/>
        <w:right w:val="none" w:sz="0" w:space="0" w:color="auto"/>
      </w:divBdr>
    </w:div>
    <w:div w:id="1164668513">
      <w:bodyDiv w:val="1"/>
      <w:marLeft w:val="0"/>
      <w:marRight w:val="0"/>
      <w:marTop w:val="0"/>
      <w:marBottom w:val="0"/>
      <w:divBdr>
        <w:top w:val="none" w:sz="0" w:space="0" w:color="auto"/>
        <w:left w:val="none" w:sz="0" w:space="0" w:color="auto"/>
        <w:bottom w:val="none" w:sz="0" w:space="0" w:color="auto"/>
        <w:right w:val="none" w:sz="0" w:space="0" w:color="auto"/>
      </w:divBdr>
    </w:div>
    <w:div w:id="1196432129">
      <w:bodyDiv w:val="1"/>
      <w:marLeft w:val="0"/>
      <w:marRight w:val="0"/>
      <w:marTop w:val="0"/>
      <w:marBottom w:val="0"/>
      <w:divBdr>
        <w:top w:val="none" w:sz="0" w:space="0" w:color="auto"/>
        <w:left w:val="none" w:sz="0" w:space="0" w:color="auto"/>
        <w:bottom w:val="none" w:sz="0" w:space="0" w:color="auto"/>
        <w:right w:val="none" w:sz="0" w:space="0" w:color="auto"/>
      </w:divBdr>
    </w:div>
    <w:div w:id="1211114676">
      <w:bodyDiv w:val="1"/>
      <w:marLeft w:val="0"/>
      <w:marRight w:val="0"/>
      <w:marTop w:val="0"/>
      <w:marBottom w:val="0"/>
      <w:divBdr>
        <w:top w:val="none" w:sz="0" w:space="0" w:color="auto"/>
        <w:left w:val="none" w:sz="0" w:space="0" w:color="auto"/>
        <w:bottom w:val="none" w:sz="0" w:space="0" w:color="auto"/>
        <w:right w:val="none" w:sz="0" w:space="0" w:color="auto"/>
      </w:divBdr>
    </w:div>
    <w:div w:id="1269508268">
      <w:bodyDiv w:val="1"/>
      <w:marLeft w:val="0"/>
      <w:marRight w:val="0"/>
      <w:marTop w:val="0"/>
      <w:marBottom w:val="0"/>
      <w:divBdr>
        <w:top w:val="none" w:sz="0" w:space="0" w:color="auto"/>
        <w:left w:val="none" w:sz="0" w:space="0" w:color="auto"/>
        <w:bottom w:val="none" w:sz="0" w:space="0" w:color="auto"/>
        <w:right w:val="none" w:sz="0" w:space="0" w:color="auto"/>
      </w:divBdr>
      <w:divsChild>
        <w:div w:id="1411730105">
          <w:marLeft w:val="0"/>
          <w:marRight w:val="0"/>
          <w:marTop w:val="0"/>
          <w:marBottom w:val="0"/>
          <w:divBdr>
            <w:top w:val="none" w:sz="0" w:space="0" w:color="auto"/>
            <w:left w:val="none" w:sz="0" w:space="0" w:color="auto"/>
            <w:bottom w:val="none" w:sz="0" w:space="0" w:color="auto"/>
            <w:right w:val="none" w:sz="0" w:space="0" w:color="auto"/>
          </w:divBdr>
        </w:div>
      </w:divsChild>
    </w:div>
    <w:div w:id="1323315644">
      <w:bodyDiv w:val="1"/>
      <w:marLeft w:val="0"/>
      <w:marRight w:val="0"/>
      <w:marTop w:val="0"/>
      <w:marBottom w:val="0"/>
      <w:divBdr>
        <w:top w:val="none" w:sz="0" w:space="0" w:color="auto"/>
        <w:left w:val="none" w:sz="0" w:space="0" w:color="auto"/>
        <w:bottom w:val="none" w:sz="0" w:space="0" w:color="auto"/>
        <w:right w:val="none" w:sz="0" w:space="0" w:color="auto"/>
      </w:divBdr>
    </w:div>
    <w:div w:id="1327512821">
      <w:bodyDiv w:val="1"/>
      <w:marLeft w:val="0"/>
      <w:marRight w:val="0"/>
      <w:marTop w:val="0"/>
      <w:marBottom w:val="0"/>
      <w:divBdr>
        <w:top w:val="none" w:sz="0" w:space="0" w:color="auto"/>
        <w:left w:val="none" w:sz="0" w:space="0" w:color="auto"/>
        <w:bottom w:val="none" w:sz="0" w:space="0" w:color="auto"/>
        <w:right w:val="none" w:sz="0" w:space="0" w:color="auto"/>
      </w:divBdr>
    </w:div>
    <w:div w:id="1430276602">
      <w:bodyDiv w:val="1"/>
      <w:marLeft w:val="0"/>
      <w:marRight w:val="0"/>
      <w:marTop w:val="0"/>
      <w:marBottom w:val="0"/>
      <w:divBdr>
        <w:top w:val="none" w:sz="0" w:space="0" w:color="auto"/>
        <w:left w:val="none" w:sz="0" w:space="0" w:color="auto"/>
        <w:bottom w:val="none" w:sz="0" w:space="0" w:color="auto"/>
        <w:right w:val="none" w:sz="0" w:space="0" w:color="auto"/>
      </w:divBdr>
    </w:div>
    <w:div w:id="1431967847">
      <w:bodyDiv w:val="1"/>
      <w:marLeft w:val="0"/>
      <w:marRight w:val="0"/>
      <w:marTop w:val="0"/>
      <w:marBottom w:val="0"/>
      <w:divBdr>
        <w:top w:val="none" w:sz="0" w:space="0" w:color="auto"/>
        <w:left w:val="none" w:sz="0" w:space="0" w:color="auto"/>
        <w:bottom w:val="none" w:sz="0" w:space="0" w:color="auto"/>
        <w:right w:val="none" w:sz="0" w:space="0" w:color="auto"/>
      </w:divBdr>
    </w:div>
    <w:div w:id="1480682395">
      <w:bodyDiv w:val="1"/>
      <w:marLeft w:val="0"/>
      <w:marRight w:val="0"/>
      <w:marTop w:val="0"/>
      <w:marBottom w:val="0"/>
      <w:divBdr>
        <w:top w:val="none" w:sz="0" w:space="0" w:color="auto"/>
        <w:left w:val="none" w:sz="0" w:space="0" w:color="auto"/>
        <w:bottom w:val="none" w:sz="0" w:space="0" w:color="auto"/>
        <w:right w:val="none" w:sz="0" w:space="0" w:color="auto"/>
      </w:divBdr>
    </w:div>
    <w:div w:id="1507668538">
      <w:bodyDiv w:val="1"/>
      <w:marLeft w:val="0"/>
      <w:marRight w:val="0"/>
      <w:marTop w:val="0"/>
      <w:marBottom w:val="0"/>
      <w:divBdr>
        <w:top w:val="none" w:sz="0" w:space="0" w:color="auto"/>
        <w:left w:val="none" w:sz="0" w:space="0" w:color="auto"/>
        <w:bottom w:val="none" w:sz="0" w:space="0" w:color="auto"/>
        <w:right w:val="none" w:sz="0" w:space="0" w:color="auto"/>
      </w:divBdr>
    </w:div>
    <w:div w:id="1582645334">
      <w:bodyDiv w:val="1"/>
      <w:marLeft w:val="0"/>
      <w:marRight w:val="0"/>
      <w:marTop w:val="0"/>
      <w:marBottom w:val="0"/>
      <w:divBdr>
        <w:top w:val="none" w:sz="0" w:space="0" w:color="auto"/>
        <w:left w:val="none" w:sz="0" w:space="0" w:color="auto"/>
        <w:bottom w:val="none" w:sz="0" w:space="0" w:color="auto"/>
        <w:right w:val="none" w:sz="0" w:space="0" w:color="auto"/>
      </w:divBdr>
      <w:divsChild>
        <w:div w:id="1228148160">
          <w:marLeft w:val="547"/>
          <w:marRight w:val="0"/>
          <w:marTop w:val="0"/>
          <w:marBottom w:val="0"/>
          <w:divBdr>
            <w:top w:val="none" w:sz="0" w:space="0" w:color="auto"/>
            <w:left w:val="none" w:sz="0" w:space="0" w:color="auto"/>
            <w:bottom w:val="none" w:sz="0" w:space="0" w:color="auto"/>
            <w:right w:val="none" w:sz="0" w:space="0" w:color="auto"/>
          </w:divBdr>
        </w:div>
        <w:div w:id="1427993469">
          <w:marLeft w:val="547"/>
          <w:marRight w:val="0"/>
          <w:marTop w:val="0"/>
          <w:marBottom w:val="0"/>
          <w:divBdr>
            <w:top w:val="none" w:sz="0" w:space="0" w:color="auto"/>
            <w:left w:val="none" w:sz="0" w:space="0" w:color="auto"/>
            <w:bottom w:val="none" w:sz="0" w:space="0" w:color="auto"/>
            <w:right w:val="none" w:sz="0" w:space="0" w:color="auto"/>
          </w:divBdr>
        </w:div>
        <w:div w:id="232008943">
          <w:marLeft w:val="547"/>
          <w:marRight w:val="0"/>
          <w:marTop w:val="0"/>
          <w:marBottom w:val="0"/>
          <w:divBdr>
            <w:top w:val="none" w:sz="0" w:space="0" w:color="auto"/>
            <w:left w:val="none" w:sz="0" w:space="0" w:color="auto"/>
            <w:bottom w:val="none" w:sz="0" w:space="0" w:color="auto"/>
            <w:right w:val="none" w:sz="0" w:space="0" w:color="auto"/>
          </w:divBdr>
        </w:div>
        <w:div w:id="534856075">
          <w:marLeft w:val="547"/>
          <w:marRight w:val="0"/>
          <w:marTop w:val="0"/>
          <w:marBottom w:val="0"/>
          <w:divBdr>
            <w:top w:val="none" w:sz="0" w:space="0" w:color="auto"/>
            <w:left w:val="none" w:sz="0" w:space="0" w:color="auto"/>
            <w:bottom w:val="none" w:sz="0" w:space="0" w:color="auto"/>
            <w:right w:val="none" w:sz="0" w:space="0" w:color="auto"/>
          </w:divBdr>
        </w:div>
        <w:div w:id="1181311838">
          <w:marLeft w:val="547"/>
          <w:marRight w:val="0"/>
          <w:marTop w:val="0"/>
          <w:marBottom w:val="0"/>
          <w:divBdr>
            <w:top w:val="none" w:sz="0" w:space="0" w:color="auto"/>
            <w:left w:val="none" w:sz="0" w:space="0" w:color="auto"/>
            <w:bottom w:val="none" w:sz="0" w:space="0" w:color="auto"/>
            <w:right w:val="none" w:sz="0" w:space="0" w:color="auto"/>
          </w:divBdr>
        </w:div>
        <w:div w:id="223222054">
          <w:marLeft w:val="547"/>
          <w:marRight w:val="0"/>
          <w:marTop w:val="0"/>
          <w:marBottom w:val="0"/>
          <w:divBdr>
            <w:top w:val="none" w:sz="0" w:space="0" w:color="auto"/>
            <w:left w:val="none" w:sz="0" w:space="0" w:color="auto"/>
            <w:bottom w:val="none" w:sz="0" w:space="0" w:color="auto"/>
            <w:right w:val="none" w:sz="0" w:space="0" w:color="auto"/>
          </w:divBdr>
        </w:div>
      </w:divsChild>
    </w:div>
    <w:div w:id="1590503572">
      <w:bodyDiv w:val="1"/>
      <w:marLeft w:val="0"/>
      <w:marRight w:val="0"/>
      <w:marTop w:val="0"/>
      <w:marBottom w:val="0"/>
      <w:divBdr>
        <w:top w:val="none" w:sz="0" w:space="0" w:color="auto"/>
        <w:left w:val="none" w:sz="0" w:space="0" w:color="auto"/>
        <w:bottom w:val="none" w:sz="0" w:space="0" w:color="auto"/>
        <w:right w:val="none" w:sz="0" w:space="0" w:color="auto"/>
      </w:divBdr>
    </w:div>
    <w:div w:id="1669359245">
      <w:bodyDiv w:val="1"/>
      <w:marLeft w:val="0"/>
      <w:marRight w:val="0"/>
      <w:marTop w:val="0"/>
      <w:marBottom w:val="0"/>
      <w:divBdr>
        <w:top w:val="none" w:sz="0" w:space="0" w:color="auto"/>
        <w:left w:val="none" w:sz="0" w:space="0" w:color="auto"/>
        <w:bottom w:val="none" w:sz="0" w:space="0" w:color="auto"/>
        <w:right w:val="none" w:sz="0" w:space="0" w:color="auto"/>
      </w:divBdr>
      <w:divsChild>
        <w:div w:id="2055812753">
          <w:marLeft w:val="0"/>
          <w:marRight w:val="0"/>
          <w:marTop w:val="0"/>
          <w:marBottom w:val="0"/>
          <w:divBdr>
            <w:top w:val="none" w:sz="0" w:space="0" w:color="auto"/>
            <w:left w:val="none" w:sz="0" w:space="0" w:color="auto"/>
            <w:bottom w:val="none" w:sz="0" w:space="0" w:color="auto"/>
            <w:right w:val="none" w:sz="0" w:space="0" w:color="auto"/>
          </w:divBdr>
        </w:div>
      </w:divsChild>
    </w:div>
    <w:div w:id="1728332861">
      <w:marLeft w:val="0"/>
      <w:marRight w:val="0"/>
      <w:marTop w:val="0"/>
      <w:marBottom w:val="0"/>
      <w:divBdr>
        <w:top w:val="none" w:sz="0" w:space="0" w:color="auto"/>
        <w:left w:val="none" w:sz="0" w:space="0" w:color="auto"/>
        <w:bottom w:val="none" w:sz="0" w:space="0" w:color="auto"/>
        <w:right w:val="none" w:sz="0" w:space="0" w:color="auto"/>
      </w:divBdr>
    </w:div>
    <w:div w:id="1795559958">
      <w:bodyDiv w:val="1"/>
      <w:marLeft w:val="0"/>
      <w:marRight w:val="0"/>
      <w:marTop w:val="0"/>
      <w:marBottom w:val="0"/>
      <w:divBdr>
        <w:top w:val="none" w:sz="0" w:space="0" w:color="auto"/>
        <w:left w:val="none" w:sz="0" w:space="0" w:color="auto"/>
        <w:bottom w:val="none" w:sz="0" w:space="0" w:color="auto"/>
        <w:right w:val="none" w:sz="0" w:space="0" w:color="auto"/>
      </w:divBdr>
    </w:div>
    <w:div w:id="1820222329">
      <w:bodyDiv w:val="1"/>
      <w:marLeft w:val="0"/>
      <w:marRight w:val="0"/>
      <w:marTop w:val="0"/>
      <w:marBottom w:val="0"/>
      <w:divBdr>
        <w:top w:val="none" w:sz="0" w:space="0" w:color="auto"/>
        <w:left w:val="none" w:sz="0" w:space="0" w:color="auto"/>
        <w:bottom w:val="none" w:sz="0" w:space="0" w:color="auto"/>
        <w:right w:val="none" w:sz="0" w:space="0" w:color="auto"/>
      </w:divBdr>
    </w:div>
    <w:div w:id="1869945486">
      <w:bodyDiv w:val="1"/>
      <w:marLeft w:val="0"/>
      <w:marRight w:val="0"/>
      <w:marTop w:val="0"/>
      <w:marBottom w:val="0"/>
      <w:divBdr>
        <w:top w:val="none" w:sz="0" w:space="0" w:color="auto"/>
        <w:left w:val="none" w:sz="0" w:space="0" w:color="auto"/>
        <w:bottom w:val="none" w:sz="0" w:space="0" w:color="auto"/>
        <w:right w:val="none" w:sz="0" w:space="0" w:color="auto"/>
      </w:divBdr>
    </w:div>
    <w:div w:id="1871064598">
      <w:bodyDiv w:val="1"/>
      <w:marLeft w:val="0"/>
      <w:marRight w:val="0"/>
      <w:marTop w:val="0"/>
      <w:marBottom w:val="0"/>
      <w:divBdr>
        <w:top w:val="none" w:sz="0" w:space="0" w:color="auto"/>
        <w:left w:val="none" w:sz="0" w:space="0" w:color="auto"/>
        <w:bottom w:val="none" w:sz="0" w:space="0" w:color="auto"/>
        <w:right w:val="none" w:sz="0" w:space="0" w:color="auto"/>
      </w:divBdr>
    </w:div>
    <w:div w:id="1885366113">
      <w:bodyDiv w:val="1"/>
      <w:marLeft w:val="0"/>
      <w:marRight w:val="0"/>
      <w:marTop w:val="0"/>
      <w:marBottom w:val="0"/>
      <w:divBdr>
        <w:top w:val="none" w:sz="0" w:space="0" w:color="auto"/>
        <w:left w:val="none" w:sz="0" w:space="0" w:color="auto"/>
        <w:bottom w:val="none" w:sz="0" w:space="0" w:color="auto"/>
        <w:right w:val="none" w:sz="0" w:space="0" w:color="auto"/>
      </w:divBdr>
    </w:div>
    <w:div w:id="1897233645">
      <w:bodyDiv w:val="1"/>
      <w:marLeft w:val="0"/>
      <w:marRight w:val="0"/>
      <w:marTop w:val="0"/>
      <w:marBottom w:val="0"/>
      <w:divBdr>
        <w:top w:val="none" w:sz="0" w:space="0" w:color="auto"/>
        <w:left w:val="none" w:sz="0" w:space="0" w:color="auto"/>
        <w:bottom w:val="none" w:sz="0" w:space="0" w:color="auto"/>
        <w:right w:val="none" w:sz="0" w:space="0" w:color="auto"/>
      </w:divBdr>
      <w:divsChild>
        <w:div w:id="740251135">
          <w:marLeft w:val="0"/>
          <w:marRight w:val="0"/>
          <w:marTop w:val="0"/>
          <w:marBottom w:val="0"/>
          <w:divBdr>
            <w:top w:val="none" w:sz="0" w:space="0" w:color="auto"/>
            <w:left w:val="none" w:sz="0" w:space="0" w:color="auto"/>
            <w:bottom w:val="none" w:sz="0" w:space="0" w:color="auto"/>
            <w:right w:val="none" w:sz="0" w:space="0" w:color="auto"/>
          </w:divBdr>
        </w:div>
      </w:divsChild>
    </w:div>
    <w:div w:id="1897666691">
      <w:bodyDiv w:val="1"/>
      <w:marLeft w:val="0"/>
      <w:marRight w:val="0"/>
      <w:marTop w:val="0"/>
      <w:marBottom w:val="0"/>
      <w:divBdr>
        <w:top w:val="none" w:sz="0" w:space="0" w:color="auto"/>
        <w:left w:val="none" w:sz="0" w:space="0" w:color="auto"/>
        <w:bottom w:val="none" w:sz="0" w:space="0" w:color="auto"/>
        <w:right w:val="none" w:sz="0" w:space="0" w:color="auto"/>
      </w:divBdr>
    </w:div>
    <w:div w:id="1942495150">
      <w:bodyDiv w:val="1"/>
      <w:marLeft w:val="0"/>
      <w:marRight w:val="0"/>
      <w:marTop w:val="0"/>
      <w:marBottom w:val="0"/>
      <w:divBdr>
        <w:top w:val="none" w:sz="0" w:space="0" w:color="auto"/>
        <w:left w:val="none" w:sz="0" w:space="0" w:color="auto"/>
        <w:bottom w:val="none" w:sz="0" w:space="0" w:color="auto"/>
        <w:right w:val="none" w:sz="0" w:space="0" w:color="auto"/>
      </w:divBdr>
    </w:div>
    <w:div w:id="1946379084">
      <w:bodyDiv w:val="1"/>
      <w:marLeft w:val="0"/>
      <w:marRight w:val="0"/>
      <w:marTop w:val="0"/>
      <w:marBottom w:val="0"/>
      <w:divBdr>
        <w:top w:val="none" w:sz="0" w:space="0" w:color="auto"/>
        <w:left w:val="none" w:sz="0" w:space="0" w:color="auto"/>
        <w:bottom w:val="none" w:sz="0" w:space="0" w:color="auto"/>
        <w:right w:val="none" w:sz="0" w:space="0" w:color="auto"/>
      </w:divBdr>
    </w:div>
    <w:div w:id="1958947019">
      <w:bodyDiv w:val="1"/>
      <w:marLeft w:val="0"/>
      <w:marRight w:val="0"/>
      <w:marTop w:val="0"/>
      <w:marBottom w:val="0"/>
      <w:divBdr>
        <w:top w:val="none" w:sz="0" w:space="0" w:color="auto"/>
        <w:left w:val="none" w:sz="0" w:space="0" w:color="auto"/>
        <w:bottom w:val="none" w:sz="0" w:space="0" w:color="auto"/>
        <w:right w:val="none" w:sz="0" w:space="0" w:color="auto"/>
      </w:divBdr>
    </w:div>
    <w:div w:id="1983269542">
      <w:bodyDiv w:val="1"/>
      <w:marLeft w:val="0"/>
      <w:marRight w:val="0"/>
      <w:marTop w:val="0"/>
      <w:marBottom w:val="0"/>
      <w:divBdr>
        <w:top w:val="none" w:sz="0" w:space="0" w:color="auto"/>
        <w:left w:val="none" w:sz="0" w:space="0" w:color="auto"/>
        <w:bottom w:val="none" w:sz="0" w:space="0" w:color="auto"/>
        <w:right w:val="none" w:sz="0" w:space="0" w:color="auto"/>
      </w:divBdr>
    </w:div>
    <w:div w:id="2029015105">
      <w:bodyDiv w:val="1"/>
      <w:marLeft w:val="0"/>
      <w:marRight w:val="0"/>
      <w:marTop w:val="0"/>
      <w:marBottom w:val="0"/>
      <w:divBdr>
        <w:top w:val="none" w:sz="0" w:space="0" w:color="auto"/>
        <w:left w:val="none" w:sz="0" w:space="0" w:color="auto"/>
        <w:bottom w:val="none" w:sz="0" w:space="0" w:color="auto"/>
        <w:right w:val="none" w:sz="0" w:space="0" w:color="auto"/>
      </w:divBdr>
    </w:div>
    <w:div w:id="2046056338">
      <w:bodyDiv w:val="1"/>
      <w:marLeft w:val="0"/>
      <w:marRight w:val="0"/>
      <w:marTop w:val="0"/>
      <w:marBottom w:val="0"/>
      <w:divBdr>
        <w:top w:val="none" w:sz="0" w:space="0" w:color="auto"/>
        <w:left w:val="none" w:sz="0" w:space="0" w:color="auto"/>
        <w:bottom w:val="none" w:sz="0" w:space="0" w:color="auto"/>
        <w:right w:val="none" w:sz="0" w:space="0" w:color="auto"/>
      </w:divBdr>
    </w:div>
    <w:div w:id="2117946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D1B11-E3C0-41C4-BB5A-677CB24ED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36</Pages>
  <Words>10092</Words>
  <Characters>54502</Characters>
  <Application>Microsoft Office Word</Application>
  <DocSecurity>0</DocSecurity>
  <Lines>454</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64466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Priscila  Benazzi Hoffmann</dc:creator>
  <cp:lastModifiedBy>Gisele</cp:lastModifiedBy>
  <cp:revision>20</cp:revision>
  <cp:lastPrinted>2018-10-29T10:07:00Z</cp:lastPrinted>
  <dcterms:created xsi:type="dcterms:W3CDTF">2018-10-19T11:27:00Z</dcterms:created>
  <dcterms:modified xsi:type="dcterms:W3CDTF">2018-10-29T10:09:00Z</dcterms:modified>
</cp:coreProperties>
</file>